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5D1" w:rsidRPr="008A45D1" w:rsidRDefault="008A45D1">
      <w:pPr>
        <w:rPr>
          <w:rFonts w:ascii="Times New Roman" w:hAnsi="Times New Roman" w:cs="Times New Roman"/>
          <w:b/>
          <w:sz w:val="24"/>
          <w:szCs w:val="24"/>
        </w:rPr>
      </w:pPr>
      <w:r w:rsidRPr="008A45D1">
        <w:rPr>
          <w:rFonts w:ascii="Times New Roman" w:hAnsi="Times New Roman" w:cs="Times New Roman"/>
          <w:b/>
          <w:sz w:val="24"/>
          <w:szCs w:val="24"/>
        </w:rPr>
        <w:t>V tase                                                              KOOD………………………..</w:t>
      </w:r>
    </w:p>
    <w:p w:rsidR="00C6495C" w:rsidRDefault="008A45D1">
      <w:pPr>
        <w:rPr>
          <w:rFonts w:ascii="Times New Roman" w:hAnsi="Times New Roman" w:cs="Times New Roman"/>
          <w:b/>
          <w:sz w:val="24"/>
          <w:szCs w:val="24"/>
        </w:rPr>
      </w:pPr>
      <w:r w:rsidRPr="008A45D1">
        <w:rPr>
          <w:rFonts w:ascii="Times New Roman" w:hAnsi="Times New Roman" w:cs="Times New Roman"/>
          <w:b/>
          <w:sz w:val="24"/>
          <w:szCs w:val="24"/>
        </w:rPr>
        <w:t>Teoreetilised küsimused</w:t>
      </w:r>
    </w:p>
    <w:p w:rsidR="008A45D1" w:rsidRPr="008A45D1" w:rsidRDefault="008A45D1" w:rsidP="008A45D1">
      <w:pPr>
        <w:spacing w:after="0" w:line="240" w:lineRule="auto"/>
        <w:jc w:val="both"/>
        <w:rPr>
          <w:rFonts w:ascii="Book Antiqua" w:hAnsi="Book Antiqua"/>
        </w:rPr>
      </w:pPr>
      <w:r w:rsidRPr="008A45D1">
        <w:rPr>
          <w:rFonts w:ascii="Book Antiqua" w:hAnsi="Book Antiqua"/>
        </w:rPr>
        <w:t>1. Mis on mets EVS 875 mõistes?</w:t>
      </w:r>
    </w:p>
    <w:p w:rsidR="008A45D1" w:rsidRDefault="008A45D1" w:rsidP="008A45D1">
      <w:pPr>
        <w:ind w:left="720"/>
        <w:jc w:val="both"/>
        <w:rPr>
          <w:rFonts w:ascii="Book Antiqua" w:hAnsi="Book Antiqua"/>
        </w:rPr>
      </w:pPr>
    </w:p>
    <w:p w:rsidR="008A45D1" w:rsidRDefault="008A45D1" w:rsidP="008A45D1">
      <w:pPr>
        <w:jc w:val="both"/>
        <w:rPr>
          <w:rFonts w:ascii="Book Antiqua" w:hAnsi="Book Antiqua"/>
        </w:rPr>
      </w:pPr>
      <w:r>
        <w:rPr>
          <w:rFonts w:ascii="Book Antiqua" w:hAnsi="Book Antiqua"/>
        </w:rPr>
        <w:t>Vastus: Puittaimestiku kasvukoht pindalaga 0,5ha või enam, mis vastab vähemalt ühele alljärgnevatest nõuetest:</w:t>
      </w:r>
    </w:p>
    <w:p w:rsidR="008A45D1" w:rsidRDefault="008A45D1" w:rsidP="008A45D1">
      <w:pPr>
        <w:numPr>
          <w:ilvl w:val="0"/>
          <w:numId w:val="2"/>
        </w:numPr>
        <w:spacing w:after="0" w:line="240" w:lineRule="auto"/>
        <w:ind w:left="0" w:firstLine="0"/>
        <w:jc w:val="both"/>
        <w:rPr>
          <w:rFonts w:ascii="Book Antiqua" w:hAnsi="Book Antiqua"/>
        </w:rPr>
      </w:pPr>
      <w:r>
        <w:rPr>
          <w:rFonts w:ascii="Book Antiqua" w:hAnsi="Book Antiqua"/>
        </w:rPr>
        <w:t>seal kasvavad puud kõrgusega vähemalt 1,3m ja puuvõrade liitusega vähemalt 30 protsenti;</w:t>
      </w:r>
    </w:p>
    <w:p w:rsidR="008A45D1" w:rsidRDefault="008A45D1" w:rsidP="008A45D1">
      <w:pPr>
        <w:numPr>
          <w:ilvl w:val="0"/>
          <w:numId w:val="2"/>
        </w:numPr>
        <w:spacing w:after="0" w:line="240" w:lineRule="auto"/>
        <w:ind w:left="0" w:firstLine="0"/>
        <w:jc w:val="both"/>
        <w:rPr>
          <w:rFonts w:ascii="Book Antiqua" w:hAnsi="Book Antiqua"/>
        </w:rPr>
      </w:pPr>
      <w:r>
        <w:rPr>
          <w:rFonts w:ascii="Book Antiqua" w:hAnsi="Book Antiqua"/>
        </w:rPr>
        <w:t>seda majandatakse puidu ja teiste metsasaaduste saamiseks või seal säilitatakse puittaimestikku metsaseaduses nimetatud viisidel kasutamiseks.</w:t>
      </w:r>
    </w:p>
    <w:p w:rsidR="008A45D1" w:rsidRDefault="008A45D1" w:rsidP="008A45D1">
      <w:pPr>
        <w:spacing w:after="0" w:line="240" w:lineRule="auto"/>
        <w:jc w:val="both"/>
        <w:rPr>
          <w:rFonts w:ascii="Book Antiqua" w:hAnsi="Book Antiqua"/>
        </w:rPr>
      </w:pPr>
    </w:p>
    <w:p w:rsidR="008A45D1" w:rsidRPr="008A45D1" w:rsidRDefault="008A45D1" w:rsidP="008A45D1">
      <w:pPr>
        <w:spacing w:after="0" w:line="240" w:lineRule="auto"/>
        <w:jc w:val="both"/>
        <w:rPr>
          <w:rFonts w:ascii="Book Antiqua" w:hAnsi="Book Antiqua"/>
        </w:rPr>
      </w:pPr>
      <w:r w:rsidRPr="008A45D1">
        <w:rPr>
          <w:rFonts w:ascii="Book Antiqua" w:hAnsi="Book Antiqua"/>
        </w:rPr>
        <w:t>2. Mis on ostueesõigus?</w:t>
      </w:r>
    </w:p>
    <w:p w:rsidR="008A45D1" w:rsidRPr="00AD1456" w:rsidRDefault="008A45D1" w:rsidP="008A45D1">
      <w:pPr>
        <w:ind w:left="720"/>
        <w:jc w:val="both"/>
        <w:rPr>
          <w:rFonts w:ascii="Book Antiqua" w:hAnsi="Book Antiqua"/>
        </w:rPr>
      </w:pPr>
    </w:p>
    <w:p w:rsidR="008A45D1" w:rsidRDefault="008A45D1" w:rsidP="008A45D1">
      <w:pPr>
        <w:jc w:val="both"/>
        <w:rPr>
          <w:rFonts w:ascii="Book Antiqua" w:hAnsi="Book Antiqua"/>
        </w:rPr>
      </w:pPr>
      <w:r>
        <w:rPr>
          <w:rFonts w:ascii="Book Antiqua" w:hAnsi="Book Antiqua"/>
        </w:rPr>
        <w:t xml:space="preserve">Vastus: </w:t>
      </w:r>
      <w:r w:rsidRPr="00AD1456">
        <w:rPr>
          <w:rFonts w:ascii="Book Antiqua" w:hAnsi="Book Antiqua"/>
        </w:rPr>
        <w:t>Ostueesõigus on õigus, mille teostamise korral loetakse ostueesõigust omava isiku ja müüja vahel sõlmituks müügileping samadel tingimustel, milles müüja ostjaga kokku leppis.</w:t>
      </w:r>
    </w:p>
    <w:p w:rsidR="00F92730" w:rsidRDefault="00F92730" w:rsidP="008A45D1">
      <w:pPr>
        <w:jc w:val="both"/>
        <w:rPr>
          <w:rFonts w:ascii="Book Antiqua" w:hAnsi="Book Antiqua"/>
        </w:rPr>
      </w:pPr>
    </w:p>
    <w:p w:rsidR="00F92730" w:rsidRPr="00F92730" w:rsidRDefault="00F92730" w:rsidP="00F92730">
      <w:pPr>
        <w:jc w:val="both"/>
        <w:rPr>
          <w:rFonts w:ascii="Times New Roman" w:hAnsi="Times New Roman"/>
          <w:sz w:val="24"/>
          <w:szCs w:val="24"/>
        </w:rPr>
      </w:pPr>
      <w:r>
        <w:rPr>
          <w:rFonts w:ascii="Times New Roman" w:hAnsi="Times New Roman"/>
          <w:sz w:val="24"/>
          <w:szCs w:val="24"/>
        </w:rPr>
        <w:t xml:space="preserve">3. </w:t>
      </w:r>
      <w:r w:rsidRPr="00F92730">
        <w:rPr>
          <w:rFonts w:ascii="Times New Roman" w:hAnsi="Times New Roman"/>
          <w:sz w:val="24"/>
          <w:szCs w:val="24"/>
        </w:rPr>
        <w:t>Mis on ja kuidas tekib ehitusõigus?</w:t>
      </w:r>
    </w:p>
    <w:p w:rsidR="00F92730" w:rsidRPr="00F92730" w:rsidRDefault="00F92730" w:rsidP="00F92730">
      <w:pPr>
        <w:jc w:val="both"/>
        <w:rPr>
          <w:rFonts w:ascii="Times New Roman" w:hAnsi="Times New Roman" w:cs="Times New Roman"/>
          <w:sz w:val="24"/>
          <w:szCs w:val="24"/>
        </w:rPr>
      </w:pPr>
      <w:r>
        <w:rPr>
          <w:rFonts w:ascii="Times New Roman" w:hAnsi="Times New Roman" w:cs="Times New Roman"/>
          <w:sz w:val="24"/>
          <w:szCs w:val="24"/>
        </w:rPr>
        <w:t xml:space="preserve">Vastus: </w:t>
      </w:r>
      <w:r w:rsidRPr="00F92730">
        <w:rPr>
          <w:rFonts w:ascii="Times New Roman" w:hAnsi="Times New Roman" w:cs="Times New Roman"/>
          <w:sz w:val="24"/>
          <w:szCs w:val="24"/>
        </w:rPr>
        <w:t>Ehitusõigus on avaliku võimu poolt kinnistu omanikule antud õigus püstitada kinnistule konkreetne hoone või rajatis. Ehitusõiguse saamiseks tuleb detailplaneeringu kohustusega alal koostada detailplaneering, mis on ehitusprojekti koostamise aluseks. Detailplaneeringu kohustuseta alal koostatakse ehitusprojekt kohaliku omavalitsuse väljastatud projekteerimistingimuste alusel. Ehitusõiguse realiseerimiseks tuleb esitada ehitusloa taotlus koos nõutavate dokumentidega.</w:t>
      </w:r>
    </w:p>
    <w:p w:rsidR="00F92730" w:rsidRPr="00F92730" w:rsidRDefault="00F92730" w:rsidP="00F92730">
      <w:pPr>
        <w:jc w:val="both"/>
        <w:rPr>
          <w:rFonts w:ascii="Times New Roman" w:hAnsi="Times New Roman"/>
          <w:sz w:val="24"/>
          <w:szCs w:val="24"/>
        </w:rPr>
      </w:pPr>
      <w:r>
        <w:rPr>
          <w:rFonts w:ascii="Times New Roman" w:hAnsi="Times New Roman"/>
          <w:sz w:val="24"/>
          <w:szCs w:val="24"/>
        </w:rPr>
        <w:t xml:space="preserve">4. </w:t>
      </w:r>
      <w:r w:rsidRPr="00F92730">
        <w:rPr>
          <w:rFonts w:ascii="Times New Roman" w:hAnsi="Times New Roman"/>
          <w:sz w:val="24"/>
          <w:szCs w:val="24"/>
        </w:rPr>
        <w:t>Millisel juhul ei ole kinnisasjaga püsivalt ühendatud ehitised või rajatised kinnisasja oluliseks osaks?</w:t>
      </w:r>
    </w:p>
    <w:p w:rsidR="00F92730" w:rsidRPr="00F92730" w:rsidRDefault="00F92730" w:rsidP="00F92730">
      <w:pPr>
        <w:jc w:val="both"/>
        <w:rPr>
          <w:rFonts w:ascii="Times New Roman" w:hAnsi="Times New Roman" w:cs="Times New Roman"/>
          <w:sz w:val="24"/>
          <w:szCs w:val="24"/>
        </w:rPr>
      </w:pPr>
      <w:r>
        <w:rPr>
          <w:rFonts w:ascii="Times New Roman" w:hAnsi="Times New Roman" w:cs="Times New Roman"/>
          <w:sz w:val="24"/>
          <w:szCs w:val="24"/>
        </w:rPr>
        <w:t xml:space="preserve">Vastus: </w:t>
      </w:r>
      <w:r w:rsidRPr="00F92730">
        <w:rPr>
          <w:rFonts w:ascii="Times New Roman" w:hAnsi="Times New Roman" w:cs="Times New Roman"/>
          <w:sz w:val="24"/>
          <w:szCs w:val="24"/>
        </w:rPr>
        <w:t>Ehitised ja rajatised ei ole kinnisasja oluliseks osaks juhul, kui kinnisasi on koormatud hoonestusõigusega ning hooned ja rajatised on hoonestusõiguse oluliseks osaks. Samuti ei ole kinnisasja oluliseks osaks servituudi või talumiskohustuse alusel rajatud tehnovõrgud – ja rajatised.</w:t>
      </w:r>
    </w:p>
    <w:p w:rsidR="00F92730" w:rsidRPr="00F92730" w:rsidRDefault="00F92730" w:rsidP="00F92730">
      <w:pPr>
        <w:pStyle w:val="NormalWeb"/>
        <w:jc w:val="both"/>
        <w:rPr>
          <w:rFonts w:eastAsia="Calibri"/>
          <w:lang w:eastAsia="en-US"/>
        </w:rPr>
      </w:pPr>
      <w:r>
        <w:rPr>
          <w:rFonts w:eastAsia="Calibri"/>
          <w:lang w:eastAsia="en-US"/>
        </w:rPr>
        <w:t xml:space="preserve">5. </w:t>
      </w:r>
      <w:r w:rsidRPr="00F92730">
        <w:rPr>
          <w:rFonts w:eastAsia="Calibri"/>
          <w:lang w:eastAsia="en-US"/>
        </w:rPr>
        <w:t>Millises ulatuses võib eksperthinnangu tellija anda hindajale juhiseid lepingu täitmiseks ning kuidas peab hindaja toimima, kui ta soovib antud juhistest kõrvale kalduda?</w:t>
      </w:r>
    </w:p>
    <w:p w:rsidR="00F92730" w:rsidRDefault="00F92730" w:rsidP="00F92730">
      <w:pPr>
        <w:pStyle w:val="NormalWeb"/>
        <w:jc w:val="both"/>
        <w:rPr>
          <w:rFonts w:eastAsia="Calibri"/>
          <w:lang w:eastAsia="en-US"/>
        </w:rPr>
      </w:pPr>
      <w:r>
        <w:rPr>
          <w:rFonts w:eastAsia="Calibri"/>
          <w:lang w:eastAsia="en-US"/>
        </w:rPr>
        <w:t xml:space="preserve">Vastus: </w:t>
      </w:r>
      <w:r w:rsidRPr="00F92730">
        <w:rPr>
          <w:rFonts w:eastAsia="Calibri"/>
          <w:lang w:eastAsia="en-US"/>
        </w:rPr>
        <w:t>Kui käsundisaaja peab käsundi täitma oma erialastele teadmistele või võimetele tuginedes, ei või käsundiandja anda üksikasjalikke juhiseid käsundi täitmise viisi ega tingimuste suhtes Kui käsundisaaja soovib käsundiandja juhistest kõrvale kalduda, peab ta sellest käsundiandjale teatama ja tema otsuse ära ootama, välja arvatud juhul, kui viivitusega kaasneks käsundiandjale ilmselt ebasoodus tagajärg ja kui asjaoludest tulenevalt võib eeldada, et käsundiandja kiidab kõrvalekaldumise heaks.</w:t>
      </w:r>
    </w:p>
    <w:p w:rsidR="007C6A43" w:rsidRPr="00FF3FF7" w:rsidRDefault="007C6A43" w:rsidP="007C6A43">
      <w:pPr>
        <w:spacing w:after="0" w:line="240" w:lineRule="auto"/>
        <w:jc w:val="both"/>
        <w:rPr>
          <w:rFonts w:ascii="Times New Roman" w:hAnsi="Times New Roman" w:cs="Times New Roman"/>
          <w:color w:val="000000"/>
          <w:sz w:val="24"/>
          <w:szCs w:val="24"/>
        </w:rPr>
      </w:pPr>
      <w:r w:rsidRPr="00FF3FF7">
        <w:rPr>
          <w:rFonts w:ascii="Times New Roman" w:hAnsi="Times New Roman" w:cs="Times New Roman"/>
          <w:color w:val="000000"/>
          <w:sz w:val="24"/>
          <w:szCs w:val="24"/>
        </w:rPr>
        <w:lastRenderedPageBreak/>
        <w:t>6. Millest sõltub võrdlusühiku valik võrdlusmeetodi kasutamisel? Tooge näited vähemalt kontori ja eramu kohta.</w:t>
      </w:r>
    </w:p>
    <w:p w:rsidR="007C6A43" w:rsidRPr="00FF3FF7" w:rsidRDefault="007C6A43" w:rsidP="007C6A43">
      <w:pPr>
        <w:autoSpaceDE w:val="0"/>
        <w:autoSpaceDN w:val="0"/>
        <w:adjustRightInd w:val="0"/>
        <w:spacing w:after="0" w:line="240" w:lineRule="auto"/>
        <w:rPr>
          <w:rFonts w:ascii="Times New Roman" w:hAnsi="Times New Roman" w:cs="Times New Roman"/>
          <w:sz w:val="24"/>
          <w:szCs w:val="24"/>
        </w:rPr>
      </w:pPr>
    </w:p>
    <w:p w:rsidR="007C6A43" w:rsidRPr="00FF3FF7" w:rsidRDefault="007C6A43" w:rsidP="007C6A43">
      <w:pPr>
        <w:autoSpaceDE w:val="0"/>
        <w:autoSpaceDN w:val="0"/>
        <w:adjustRightInd w:val="0"/>
        <w:spacing w:after="0" w:line="240" w:lineRule="auto"/>
        <w:rPr>
          <w:rFonts w:ascii="Times New Roman" w:hAnsi="Times New Roman" w:cs="Times New Roman"/>
          <w:sz w:val="24"/>
          <w:szCs w:val="24"/>
        </w:rPr>
      </w:pPr>
      <w:r w:rsidRPr="00FF3FF7">
        <w:rPr>
          <w:rFonts w:ascii="Times New Roman" w:hAnsi="Times New Roman" w:cs="Times New Roman"/>
          <w:b/>
          <w:sz w:val="24"/>
          <w:szCs w:val="24"/>
        </w:rPr>
        <w:t>Vastus:</w:t>
      </w:r>
      <w:r>
        <w:rPr>
          <w:rFonts w:ascii="Times New Roman" w:hAnsi="Times New Roman" w:cs="Times New Roman"/>
          <w:sz w:val="24"/>
          <w:szCs w:val="24"/>
        </w:rPr>
        <w:t xml:space="preserve"> </w:t>
      </w:r>
      <w:r w:rsidRPr="00FF3FF7">
        <w:rPr>
          <w:rFonts w:ascii="Times New Roman" w:hAnsi="Times New Roman" w:cs="Times New Roman"/>
          <w:sz w:val="24"/>
          <w:szCs w:val="24"/>
        </w:rPr>
        <w:t>Võrdlusühiku valik sõltub hindamise eesmärgist ja vara liigist. Eelistada tuleb seda ühikut, mille abil</w:t>
      </w:r>
    </w:p>
    <w:p w:rsidR="007C6A43" w:rsidRPr="00FF3FF7" w:rsidRDefault="007C6A43" w:rsidP="007C6A43">
      <w:pPr>
        <w:autoSpaceDE w:val="0"/>
        <w:autoSpaceDN w:val="0"/>
        <w:adjustRightInd w:val="0"/>
        <w:spacing w:after="0" w:line="240" w:lineRule="auto"/>
        <w:rPr>
          <w:rFonts w:ascii="Times New Roman" w:hAnsi="Times New Roman" w:cs="Times New Roman"/>
          <w:sz w:val="24"/>
          <w:szCs w:val="24"/>
        </w:rPr>
      </w:pPr>
      <w:r w:rsidRPr="00FF3FF7">
        <w:rPr>
          <w:rFonts w:ascii="Times New Roman" w:hAnsi="Times New Roman" w:cs="Times New Roman"/>
          <w:sz w:val="24"/>
          <w:szCs w:val="24"/>
        </w:rPr>
        <w:t>konkreetse vara puhul turul kaubeldakse.</w:t>
      </w:r>
    </w:p>
    <w:p w:rsidR="007C6A43" w:rsidRPr="00FF3FF7" w:rsidRDefault="007C6A43" w:rsidP="007C6A43">
      <w:pPr>
        <w:autoSpaceDE w:val="0"/>
        <w:autoSpaceDN w:val="0"/>
        <w:adjustRightInd w:val="0"/>
        <w:spacing w:after="0" w:line="240" w:lineRule="auto"/>
        <w:rPr>
          <w:rFonts w:ascii="Times New Roman" w:hAnsi="Times New Roman" w:cs="Times New Roman"/>
          <w:sz w:val="24"/>
          <w:szCs w:val="24"/>
        </w:rPr>
      </w:pPr>
      <w:r w:rsidRPr="00FF3FF7">
        <w:rPr>
          <w:rFonts w:ascii="Times New Roman" w:hAnsi="Times New Roman" w:cs="Times New Roman"/>
          <w:sz w:val="24"/>
          <w:szCs w:val="24"/>
        </w:rPr>
        <w:t xml:space="preserve">Kinnisvara puhul tuleb eelistada kinnisvara kui terviku käsitlust, kuid praktikas ei ole see tihtipeale siiski põhjendatud varade erineva suuruse tõttu. Sellistel puhkudel võib kasutada ka pinnaühikule või kasutusüksusele taandatud hinda (hinda ruutmeetri või hektari kohta (kr/m2 või </w:t>
      </w:r>
      <w:proofErr w:type="spellStart"/>
      <w:r w:rsidRPr="00FF3FF7">
        <w:rPr>
          <w:rFonts w:ascii="Times New Roman" w:hAnsi="Times New Roman" w:cs="Times New Roman"/>
          <w:sz w:val="24"/>
          <w:szCs w:val="24"/>
        </w:rPr>
        <w:t>kr/ha</w:t>
      </w:r>
      <w:proofErr w:type="spellEnd"/>
      <w:r w:rsidRPr="00FF3FF7">
        <w:rPr>
          <w:rFonts w:ascii="Times New Roman" w:hAnsi="Times New Roman" w:cs="Times New Roman"/>
          <w:sz w:val="24"/>
          <w:szCs w:val="24"/>
        </w:rPr>
        <w:t>), hinda suletud neto- või brutopinna kohta (kr/SNPm2 või kr/SBPm2), hinda voodi- või parkimiskoha kohta vms). Valiku eesmärgiks on välja valida kõige sobilikum võrdlusühik, mis võimalikult hästi iseloomustab turu toimemehhanisme.</w:t>
      </w:r>
    </w:p>
    <w:p w:rsidR="007C6A43" w:rsidRPr="00FF3FF7" w:rsidRDefault="007C6A43" w:rsidP="007C6A43">
      <w:pPr>
        <w:autoSpaceDE w:val="0"/>
        <w:autoSpaceDN w:val="0"/>
        <w:adjustRightInd w:val="0"/>
        <w:spacing w:after="0" w:line="240" w:lineRule="auto"/>
        <w:rPr>
          <w:rFonts w:ascii="Times New Roman" w:hAnsi="Times New Roman" w:cs="Times New Roman"/>
          <w:sz w:val="24"/>
          <w:szCs w:val="24"/>
        </w:rPr>
      </w:pPr>
      <w:r w:rsidRPr="00FF3FF7">
        <w:rPr>
          <w:rFonts w:ascii="Times New Roman" w:hAnsi="Times New Roman" w:cs="Times New Roman"/>
          <w:sz w:val="24"/>
          <w:szCs w:val="24"/>
        </w:rPr>
        <w:t>Kontor - kr, kr/SNPm2</w:t>
      </w:r>
    </w:p>
    <w:p w:rsidR="007C6A43" w:rsidRDefault="007C6A43" w:rsidP="007C6A43">
      <w:pPr>
        <w:autoSpaceDE w:val="0"/>
        <w:autoSpaceDN w:val="0"/>
        <w:adjustRightInd w:val="0"/>
        <w:spacing w:after="0" w:line="240" w:lineRule="auto"/>
        <w:rPr>
          <w:rFonts w:ascii="Times New Roman" w:hAnsi="Times New Roman" w:cs="Times New Roman"/>
          <w:sz w:val="24"/>
          <w:szCs w:val="24"/>
        </w:rPr>
      </w:pPr>
      <w:r w:rsidRPr="00FF3FF7">
        <w:rPr>
          <w:rFonts w:ascii="Times New Roman" w:hAnsi="Times New Roman" w:cs="Times New Roman"/>
          <w:sz w:val="24"/>
          <w:szCs w:val="24"/>
        </w:rPr>
        <w:t xml:space="preserve">Eramu - kr, kr/SNPm2, </w:t>
      </w:r>
      <w:proofErr w:type="spellStart"/>
      <w:r w:rsidRPr="00FF3FF7">
        <w:rPr>
          <w:rFonts w:ascii="Times New Roman" w:hAnsi="Times New Roman" w:cs="Times New Roman"/>
          <w:sz w:val="24"/>
          <w:szCs w:val="24"/>
        </w:rPr>
        <w:t>kr/kasulik</w:t>
      </w:r>
      <w:proofErr w:type="spellEnd"/>
      <w:r w:rsidRPr="00FF3FF7">
        <w:rPr>
          <w:rFonts w:ascii="Times New Roman" w:hAnsi="Times New Roman" w:cs="Times New Roman"/>
          <w:sz w:val="24"/>
          <w:szCs w:val="24"/>
        </w:rPr>
        <w:t xml:space="preserve"> pind</w:t>
      </w:r>
    </w:p>
    <w:p w:rsidR="007C6A43" w:rsidRDefault="007C6A43" w:rsidP="007C6A43">
      <w:pPr>
        <w:autoSpaceDE w:val="0"/>
        <w:autoSpaceDN w:val="0"/>
        <w:adjustRightInd w:val="0"/>
        <w:spacing w:after="0" w:line="240" w:lineRule="auto"/>
        <w:rPr>
          <w:rFonts w:ascii="Times New Roman" w:hAnsi="Times New Roman" w:cs="Times New Roman"/>
          <w:sz w:val="24"/>
          <w:szCs w:val="24"/>
        </w:rPr>
      </w:pPr>
    </w:p>
    <w:p w:rsidR="007C6A43" w:rsidRPr="00263029" w:rsidRDefault="007C6A43" w:rsidP="007C6A43">
      <w:pPr>
        <w:jc w:val="both"/>
        <w:rPr>
          <w:rFonts w:ascii="Times New Roman" w:hAnsi="Times New Roman" w:cs="Times New Roman"/>
          <w:sz w:val="24"/>
          <w:szCs w:val="24"/>
        </w:rPr>
      </w:pPr>
      <w:r>
        <w:rPr>
          <w:rFonts w:ascii="Times New Roman" w:hAnsi="Times New Roman" w:cs="Times New Roman"/>
          <w:sz w:val="24"/>
          <w:szCs w:val="24"/>
        </w:rPr>
        <w:t>7</w:t>
      </w:r>
      <w:r w:rsidRPr="00263029">
        <w:rPr>
          <w:rFonts w:ascii="Times New Roman" w:hAnsi="Times New Roman" w:cs="Times New Roman"/>
          <w:sz w:val="24"/>
          <w:szCs w:val="24"/>
        </w:rPr>
        <w:t xml:space="preserve">. Millal on kapitalisatsiooni- ja diskontomäär  võrdsed? </w:t>
      </w:r>
    </w:p>
    <w:p w:rsidR="007C6A43" w:rsidRDefault="007C6A43" w:rsidP="007C6A43">
      <w:pPr>
        <w:jc w:val="both"/>
        <w:rPr>
          <w:rFonts w:ascii="Times New Roman" w:hAnsi="Times New Roman" w:cs="Times New Roman"/>
          <w:sz w:val="24"/>
          <w:szCs w:val="24"/>
        </w:rPr>
      </w:pPr>
      <w:r w:rsidRPr="00263029">
        <w:rPr>
          <w:rFonts w:ascii="Times New Roman" w:hAnsi="Times New Roman" w:cs="Times New Roman"/>
          <w:b/>
          <w:sz w:val="24"/>
          <w:szCs w:val="24"/>
        </w:rPr>
        <w:t>Vastus:</w:t>
      </w:r>
      <w:r w:rsidRPr="00263029">
        <w:rPr>
          <w:rFonts w:ascii="Times New Roman" w:hAnsi="Times New Roman" w:cs="Times New Roman"/>
          <w:sz w:val="24"/>
          <w:szCs w:val="24"/>
        </w:rPr>
        <w:t xml:space="preserve"> Kui tulu ja vara väärtus ei muutu hoidmis- või prognoosiperioodil, siis kapitalisatsiooni- ja diskontomäär on võrdsed.</w:t>
      </w:r>
    </w:p>
    <w:p w:rsidR="007C6A43" w:rsidRDefault="007C6A43" w:rsidP="007C6A43">
      <w:pPr>
        <w:jc w:val="both"/>
        <w:rPr>
          <w:rFonts w:ascii="Times New Roman" w:hAnsi="Times New Roman" w:cs="Times New Roman"/>
          <w:sz w:val="24"/>
          <w:szCs w:val="24"/>
        </w:rPr>
      </w:pPr>
    </w:p>
    <w:p w:rsidR="007C6A43" w:rsidRDefault="007C6A43" w:rsidP="007C6A4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8. </w:t>
      </w:r>
      <w:r w:rsidRPr="00180022">
        <w:rPr>
          <w:rFonts w:ascii="Times New Roman" w:eastAsia="Calibri" w:hAnsi="Times New Roman" w:cs="Times New Roman"/>
          <w:sz w:val="24"/>
          <w:szCs w:val="24"/>
        </w:rPr>
        <w:t>Selgita</w:t>
      </w:r>
      <w:r>
        <w:rPr>
          <w:rFonts w:ascii="Times New Roman" w:hAnsi="Times New Roman" w:cs="Times New Roman"/>
          <w:sz w:val="24"/>
          <w:szCs w:val="24"/>
        </w:rPr>
        <w:t>ge, kuidas teostate</w:t>
      </w:r>
      <w:r w:rsidRPr="00180022">
        <w:rPr>
          <w:rFonts w:ascii="Times New Roman" w:eastAsia="Calibri" w:hAnsi="Times New Roman" w:cs="Times New Roman"/>
          <w:sz w:val="24"/>
          <w:szCs w:val="24"/>
        </w:rPr>
        <w:t xml:space="preserve"> kinnisvara hindamist selle kajastamisel materiaalse põhivarana finantsaruandluse eesmärgil?</w:t>
      </w:r>
    </w:p>
    <w:p w:rsidR="007C6A43" w:rsidRPr="00180022" w:rsidRDefault="007C6A43" w:rsidP="007C6A43">
      <w:pPr>
        <w:spacing w:after="0" w:line="240" w:lineRule="auto"/>
        <w:jc w:val="both"/>
        <w:rPr>
          <w:rFonts w:ascii="Times New Roman" w:eastAsia="Calibri" w:hAnsi="Times New Roman" w:cs="Times New Roman"/>
          <w:sz w:val="24"/>
          <w:szCs w:val="24"/>
        </w:rPr>
      </w:pPr>
    </w:p>
    <w:p w:rsidR="007C6A43" w:rsidRDefault="007C6A43" w:rsidP="007C6A43">
      <w:pPr>
        <w:ind w:left="720" w:hanging="720"/>
        <w:jc w:val="both"/>
        <w:rPr>
          <w:rFonts w:ascii="Times New Roman" w:eastAsia="Calibri" w:hAnsi="Times New Roman" w:cs="Times New Roman"/>
          <w:sz w:val="24"/>
          <w:szCs w:val="24"/>
        </w:rPr>
      </w:pPr>
      <w:r w:rsidRPr="00180022">
        <w:rPr>
          <w:rFonts w:ascii="Times New Roman" w:eastAsia="Calibri" w:hAnsi="Times New Roman" w:cs="Times New Roman"/>
          <w:b/>
          <w:i/>
          <w:sz w:val="24"/>
          <w:szCs w:val="24"/>
        </w:rPr>
        <w:t>Vastus</w:t>
      </w:r>
      <w:r w:rsidRPr="00180022">
        <w:rPr>
          <w:rFonts w:ascii="Times New Roman" w:eastAsia="Calibri" w:hAnsi="Times New Roman" w:cs="Times New Roman"/>
          <w:b/>
          <w:sz w:val="24"/>
          <w:szCs w:val="24"/>
        </w:rPr>
        <w:t>:</w:t>
      </w:r>
      <w:r w:rsidRPr="00180022">
        <w:rPr>
          <w:rFonts w:ascii="Times New Roman" w:eastAsia="Calibri" w:hAnsi="Times New Roman" w:cs="Times New Roman"/>
          <w:b/>
          <w:sz w:val="24"/>
          <w:szCs w:val="24"/>
        </w:rPr>
        <w:tab/>
      </w:r>
      <w:r w:rsidRPr="00180022">
        <w:rPr>
          <w:rFonts w:ascii="Times New Roman" w:eastAsia="Calibri" w:hAnsi="Times New Roman" w:cs="Times New Roman"/>
          <w:sz w:val="24"/>
          <w:szCs w:val="24"/>
        </w:rPr>
        <w:t xml:space="preserve">Kinnisvara hindamisel materiaalse põhivarana tuleb maa ja hoone väärtus näidata eraldi kinnisvara koguväärtusest, sest hooneid amortiseeritakse, maad aga mitte. Esmalt leitakse kinnisvara kui terviku väärtus, seejärel maa väärtus eeldusel, et see on hoonestamata. Hoonete väärtus = Kinnisvara – maa. </w:t>
      </w:r>
    </w:p>
    <w:p w:rsidR="0095028F" w:rsidRDefault="0095028F" w:rsidP="007C6A43">
      <w:pPr>
        <w:ind w:left="720" w:hanging="720"/>
        <w:jc w:val="both"/>
        <w:rPr>
          <w:rFonts w:ascii="Times New Roman" w:eastAsia="Calibri" w:hAnsi="Times New Roman" w:cs="Times New Roman"/>
          <w:sz w:val="24"/>
          <w:szCs w:val="24"/>
        </w:rPr>
      </w:pPr>
    </w:p>
    <w:p w:rsidR="0095028F" w:rsidRPr="0095028F" w:rsidRDefault="0095028F" w:rsidP="0095028F">
      <w:pPr>
        <w:spacing w:after="120"/>
        <w:rPr>
          <w:rFonts w:ascii="Times New Roman" w:hAnsi="Times New Roman" w:cs="Times New Roman"/>
          <w:sz w:val="24"/>
          <w:szCs w:val="24"/>
        </w:rPr>
      </w:pPr>
      <w:r w:rsidRPr="0095028F">
        <w:rPr>
          <w:rFonts w:ascii="Times New Roman" w:eastAsia="Calibri" w:hAnsi="Times New Roman" w:cs="Times New Roman"/>
          <w:sz w:val="24"/>
          <w:szCs w:val="24"/>
        </w:rPr>
        <w:t xml:space="preserve">9. </w:t>
      </w:r>
      <w:r w:rsidRPr="0095028F">
        <w:rPr>
          <w:rFonts w:ascii="Times New Roman" w:hAnsi="Times New Roman" w:cs="Times New Roman"/>
          <w:sz w:val="24"/>
          <w:szCs w:val="24"/>
        </w:rPr>
        <w:t>Defineerige  mõisteid omakapitali hind ja kogukapitali hind kinnisvarasektoris.</w:t>
      </w:r>
    </w:p>
    <w:p w:rsidR="0095028F" w:rsidRPr="0095028F" w:rsidRDefault="0095028F" w:rsidP="0095028F">
      <w:pPr>
        <w:spacing w:after="0" w:line="240" w:lineRule="auto"/>
        <w:jc w:val="both"/>
        <w:rPr>
          <w:rFonts w:ascii="Times New Roman" w:hAnsi="Times New Roman" w:cs="Times New Roman"/>
          <w:sz w:val="24"/>
          <w:szCs w:val="24"/>
        </w:rPr>
      </w:pPr>
      <w:r w:rsidRPr="0095028F">
        <w:rPr>
          <w:rFonts w:ascii="Times New Roman" w:hAnsi="Times New Roman" w:cs="Times New Roman"/>
          <w:sz w:val="24"/>
          <w:szCs w:val="24"/>
        </w:rPr>
        <w:t>Vastus:</w:t>
      </w:r>
    </w:p>
    <w:p w:rsidR="0095028F" w:rsidRPr="0095028F" w:rsidRDefault="0095028F" w:rsidP="0095028F">
      <w:pPr>
        <w:pStyle w:val="ListParagraph"/>
        <w:numPr>
          <w:ilvl w:val="0"/>
          <w:numId w:val="7"/>
        </w:numPr>
        <w:spacing w:after="0" w:line="240" w:lineRule="auto"/>
        <w:jc w:val="both"/>
        <w:rPr>
          <w:rFonts w:ascii="Times New Roman" w:hAnsi="Times New Roman"/>
          <w:sz w:val="24"/>
          <w:szCs w:val="24"/>
        </w:rPr>
      </w:pPr>
      <w:r w:rsidRPr="0095028F">
        <w:rPr>
          <w:rFonts w:ascii="Times New Roman" w:hAnsi="Times New Roman"/>
          <w:sz w:val="24"/>
          <w:szCs w:val="24"/>
        </w:rPr>
        <w:t>Omakapitali hind – investori kinnisvarasse paigutatud omakapitali tuluootus protsentides (aastas); arvu</w:t>
      </w:r>
      <w:r w:rsidRPr="0095028F">
        <w:rPr>
          <w:rFonts w:ascii="Times New Roman" w:hAnsi="Times New Roman"/>
          <w:sz w:val="24"/>
          <w:szCs w:val="24"/>
        </w:rPr>
        <w:softHyphen/>
        <w:t>ta</w:t>
      </w:r>
      <w:r w:rsidRPr="0095028F">
        <w:rPr>
          <w:rFonts w:ascii="Times New Roman" w:hAnsi="Times New Roman"/>
          <w:sz w:val="24"/>
          <w:szCs w:val="24"/>
        </w:rPr>
        <w:softHyphen/>
        <w:t>mi</w:t>
      </w:r>
      <w:r w:rsidRPr="0095028F">
        <w:rPr>
          <w:rFonts w:ascii="Times New Roman" w:hAnsi="Times New Roman"/>
          <w:sz w:val="24"/>
          <w:szCs w:val="24"/>
        </w:rPr>
        <w:softHyphen/>
        <w:t>se alu</w:t>
      </w:r>
      <w:r w:rsidRPr="0095028F">
        <w:rPr>
          <w:rFonts w:ascii="Times New Roman" w:hAnsi="Times New Roman"/>
          <w:sz w:val="24"/>
          <w:szCs w:val="24"/>
        </w:rPr>
        <w:softHyphen/>
        <w:t>seks on riskivaba intressimäär, millele lisandub tegevus</w:t>
      </w:r>
      <w:r w:rsidRPr="0095028F">
        <w:rPr>
          <w:rFonts w:ascii="Times New Roman" w:hAnsi="Times New Roman"/>
          <w:sz w:val="24"/>
          <w:szCs w:val="24"/>
        </w:rPr>
        <w:softHyphen/>
        <w:t>ha</w:t>
      </w:r>
      <w:r w:rsidRPr="0095028F">
        <w:rPr>
          <w:rFonts w:ascii="Times New Roman" w:hAnsi="Times New Roman"/>
          <w:sz w:val="24"/>
          <w:szCs w:val="24"/>
        </w:rPr>
        <w:softHyphen/>
        <w:t>rule vastav tegevus- ja finantsriskipreemia.</w:t>
      </w:r>
    </w:p>
    <w:p w:rsidR="0095028F" w:rsidRPr="0095028F" w:rsidRDefault="0095028F" w:rsidP="0095028F">
      <w:pPr>
        <w:pStyle w:val="ListParagraph"/>
        <w:numPr>
          <w:ilvl w:val="0"/>
          <w:numId w:val="7"/>
        </w:numPr>
        <w:jc w:val="both"/>
        <w:rPr>
          <w:rFonts w:ascii="Times New Roman" w:hAnsi="Times New Roman"/>
          <w:sz w:val="24"/>
          <w:szCs w:val="24"/>
        </w:rPr>
      </w:pPr>
      <w:r w:rsidRPr="0095028F">
        <w:rPr>
          <w:rFonts w:ascii="Times New Roman" w:hAnsi="Times New Roman"/>
          <w:sz w:val="24"/>
          <w:szCs w:val="24"/>
        </w:rPr>
        <w:t>Kogukapitali hind – investori kinnisvarasse paigutatud ko</w:t>
      </w:r>
      <w:r w:rsidRPr="0095028F">
        <w:rPr>
          <w:rFonts w:ascii="Times New Roman" w:hAnsi="Times New Roman"/>
          <w:sz w:val="24"/>
          <w:szCs w:val="24"/>
        </w:rPr>
        <w:softHyphen/>
        <w:t>gu</w:t>
      </w:r>
      <w:r w:rsidRPr="0095028F">
        <w:rPr>
          <w:rFonts w:ascii="Times New Roman" w:hAnsi="Times New Roman"/>
          <w:sz w:val="24"/>
          <w:szCs w:val="24"/>
        </w:rPr>
        <w:softHyphen/>
        <w:t>ka</w:t>
      </w:r>
      <w:r w:rsidRPr="0095028F">
        <w:rPr>
          <w:rFonts w:ascii="Times New Roman" w:hAnsi="Times New Roman"/>
          <w:sz w:val="24"/>
          <w:szCs w:val="24"/>
        </w:rPr>
        <w:softHyphen/>
        <w:t>pi</w:t>
      </w:r>
      <w:r w:rsidRPr="0095028F">
        <w:rPr>
          <w:rFonts w:ascii="Times New Roman" w:hAnsi="Times New Roman"/>
          <w:sz w:val="24"/>
          <w:szCs w:val="24"/>
        </w:rPr>
        <w:softHyphen/>
        <w:t>ta</w:t>
      </w:r>
      <w:r w:rsidRPr="0095028F">
        <w:rPr>
          <w:rFonts w:ascii="Times New Roman" w:hAnsi="Times New Roman"/>
          <w:sz w:val="24"/>
          <w:szCs w:val="24"/>
        </w:rPr>
        <w:softHyphen/>
        <w:t>li kaalutud keskmine tuluootus protsenti</w:t>
      </w:r>
      <w:r w:rsidRPr="0095028F">
        <w:rPr>
          <w:rFonts w:ascii="Times New Roman" w:hAnsi="Times New Roman"/>
          <w:sz w:val="24"/>
          <w:szCs w:val="24"/>
        </w:rPr>
        <w:softHyphen/>
        <w:t>des (aas</w:t>
      </w:r>
      <w:r w:rsidRPr="0095028F">
        <w:rPr>
          <w:rFonts w:ascii="Times New Roman" w:hAnsi="Times New Roman"/>
          <w:sz w:val="24"/>
          <w:szCs w:val="24"/>
        </w:rPr>
        <w:softHyphen/>
        <w:t>tas); arvutamise aluseks on kapitaliallikate (nii võõr- kui ka omakapitali) hinnad, mis on läbi korruta</w:t>
      </w:r>
      <w:r w:rsidRPr="0095028F">
        <w:rPr>
          <w:rFonts w:ascii="Times New Roman" w:hAnsi="Times New Roman"/>
          <w:sz w:val="24"/>
          <w:szCs w:val="24"/>
        </w:rPr>
        <w:softHyphen/>
        <w:t>tud kapitalialli</w:t>
      </w:r>
      <w:r w:rsidRPr="0095028F">
        <w:rPr>
          <w:rFonts w:ascii="Times New Roman" w:hAnsi="Times New Roman"/>
          <w:sz w:val="24"/>
          <w:szCs w:val="24"/>
        </w:rPr>
        <w:softHyphen/>
        <w:t>ka</w:t>
      </w:r>
      <w:r w:rsidRPr="0095028F">
        <w:rPr>
          <w:rFonts w:ascii="Times New Roman" w:hAnsi="Times New Roman"/>
          <w:sz w:val="24"/>
          <w:szCs w:val="24"/>
        </w:rPr>
        <w:softHyphen/>
        <w:t xml:space="preserve">te </w:t>
      </w:r>
      <w:proofErr w:type="spellStart"/>
      <w:r w:rsidRPr="0095028F">
        <w:rPr>
          <w:rFonts w:ascii="Times New Roman" w:hAnsi="Times New Roman"/>
          <w:sz w:val="24"/>
          <w:szCs w:val="24"/>
        </w:rPr>
        <w:t>osatähtusega</w:t>
      </w:r>
      <w:proofErr w:type="spellEnd"/>
      <w:r w:rsidRPr="0095028F">
        <w:rPr>
          <w:rFonts w:ascii="Times New Roman" w:hAnsi="Times New Roman"/>
          <w:sz w:val="24"/>
          <w:szCs w:val="24"/>
        </w:rPr>
        <w:t xml:space="preserve"> kogukapitalist nende tu</w:t>
      </w:r>
      <w:r w:rsidRPr="0095028F">
        <w:rPr>
          <w:rFonts w:ascii="Times New Roman" w:hAnsi="Times New Roman"/>
          <w:sz w:val="24"/>
          <w:szCs w:val="24"/>
        </w:rPr>
        <w:softHyphen/>
        <w:t>ru</w:t>
      </w:r>
      <w:r w:rsidRPr="0095028F">
        <w:rPr>
          <w:rFonts w:ascii="Times New Roman" w:hAnsi="Times New Roman"/>
          <w:sz w:val="24"/>
          <w:szCs w:val="24"/>
        </w:rPr>
        <w:softHyphen/>
        <w:t>väär</w:t>
      </w:r>
      <w:r w:rsidRPr="0095028F">
        <w:rPr>
          <w:rFonts w:ascii="Times New Roman" w:hAnsi="Times New Roman"/>
          <w:sz w:val="24"/>
          <w:szCs w:val="24"/>
        </w:rPr>
        <w:softHyphen/>
        <w:t>tuses.</w:t>
      </w:r>
    </w:p>
    <w:p w:rsidR="0095028F" w:rsidRPr="0095028F" w:rsidRDefault="0095028F" w:rsidP="0095028F">
      <w:pPr>
        <w:jc w:val="both"/>
        <w:rPr>
          <w:rFonts w:ascii="Times New Roman" w:hAnsi="Times New Roman" w:cs="Times New Roman"/>
          <w:sz w:val="24"/>
          <w:szCs w:val="24"/>
        </w:rPr>
      </w:pPr>
    </w:p>
    <w:p w:rsidR="0095028F" w:rsidRPr="0095028F" w:rsidRDefault="0095028F" w:rsidP="0095028F">
      <w:pPr>
        <w:rPr>
          <w:rFonts w:ascii="Times New Roman" w:hAnsi="Times New Roman" w:cs="Times New Roman"/>
          <w:sz w:val="24"/>
          <w:szCs w:val="24"/>
        </w:rPr>
      </w:pPr>
      <w:r w:rsidRPr="0095028F">
        <w:rPr>
          <w:rFonts w:ascii="Times New Roman" w:hAnsi="Times New Roman" w:cs="Times New Roman"/>
          <w:sz w:val="24"/>
          <w:szCs w:val="24"/>
        </w:rPr>
        <w:t>10. Milline erinevus on lihtintressil, liitintressil ja pideva juurdearvestusega intressil?</w:t>
      </w:r>
    </w:p>
    <w:p w:rsidR="0095028F" w:rsidRPr="0095028F" w:rsidRDefault="0095028F" w:rsidP="0095028F">
      <w:pPr>
        <w:pStyle w:val="ListParagraph"/>
        <w:spacing w:after="0"/>
        <w:ind w:left="0"/>
        <w:rPr>
          <w:rFonts w:ascii="Times New Roman" w:hAnsi="Times New Roman"/>
          <w:sz w:val="24"/>
          <w:szCs w:val="24"/>
        </w:rPr>
      </w:pPr>
    </w:p>
    <w:p w:rsidR="0095028F" w:rsidRPr="0095028F" w:rsidRDefault="0095028F" w:rsidP="0095028F">
      <w:pPr>
        <w:pStyle w:val="ListParagraph"/>
        <w:spacing w:before="240"/>
        <w:ind w:left="0"/>
        <w:jc w:val="both"/>
        <w:rPr>
          <w:rFonts w:ascii="Times New Roman" w:hAnsi="Times New Roman"/>
          <w:sz w:val="24"/>
          <w:szCs w:val="24"/>
        </w:rPr>
      </w:pPr>
      <w:r w:rsidRPr="0095028F">
        <w:rPr>
          <w:rFonts w:ascii="Times New Roman" w:hAnsi="Times New Roman"/>
          <w:sz w:val="24"/>
          <w:szCs w:val="24"/>
        </w:rPr>
        <w:t>Vastus: Liitintressi korral arvutatakse iga järgmise perioodi intressi algsummalt, liitintressi puhul nii alg</w:t>
      </w:r>
      <w:r w:rsidRPr="0095028F">
        <w:rPr>
          <w:rFonts w:ascii="Times New Roman" w:hAnsi="Times New Roman"/>
          <w:sz w:val="24"/>
          <w:szCs w:val="24"/>
        </w:rPr>
        <w:softHyphen/>
        <w:t xml:space="preserve">summalt kui ka eelnevatel perioodidel kogunenud intressiosalt. Pidev </w:t>
      </w:r>
      <w:r w:rsidRPr="0095028F">
        <w:rPr>
          <w:rFonts w:ascii="Times New Roman" w:hAnsi="Times New Roman"/>
          <w:sz w:val="24"/>
          <w:szCs w:val="24"/>
        </w:rPr>
        <w:lastRenderedPageBreak/>
        <w:t>juurdearvestus toimub liit</w:t>
      </w:r>
      <w:r w:rsidRPr="0095028F">
        <w:rPr>
          <w:rFonts w:ascii="Times New Roman" w:hAnsi="Times New Roman"/>
          <w:sz w:val="24"/>
          <w:szCs w:val="24"/>
        </w:rPr>
        <w:softHyphen/>
        <w:t>int</w:t>
      </w:r>
      <w:r w:rsidRPr="0095028F">
        <w:rPr>
          <w:rFonts w:ascii="Times New Roman" w:hAnsi="Times New Roman"/>
          <w:sz w:val="24"/>
          <w:szCs w:val="24"/>
        </w:rPr>
        <w:softHyphen/>
        <w:t>ressipõhiselt viisil, kus intressi arvutatakse juurde pidevalt igal ajahetkel.</w:t>
      </w:r>
    </w:p>
    <w:p w:rsidR="0095028F" w:rsidRPr="0095028F" w:rsidRDefault="0095028F" w:rsidP="0095028F">
      <w:pPr>
        <w:pStyle w:val="ListParagraph"/>
        <w:ind w:left="0"/>
        <w:rPr>
          <w:rFonts w:ascii="Times New Roman" w:hAnsi="Times New Roman"/>
          <w:sz w:val="24"/>
          <w:szCs w:val="24"/>
        </w:rPr>
      </w:pPr>
    </w:p>
    <w:p w:rsidR="0095028F" w:rsidRPr="0095028F" w:rsidRDefault="0095028F" w:rsidP="0095028F">
      <w:pPr>
        <w:rPr>
          <w:rFonts w:ascii="Times New Roman" w:hAnsi="Times New Roman" w:cs="Times New Roman"/>
          <w:sz w:val="24"/>
          <w:szCs w:val="24"/>
        </w:rPr>
      </w:pPr>
      <w:r w:rsidRPr="0095028F">
        <w:rPr>
          <w:rFonts w:ascii="Times New Roman" w:hAnsi="Times New Roman" w:cs="Times New Roman"/>
          <w:sz w:val="24"/>
          <w:szCs w:val="24"/>
        </w:rPr>
        <w:t>11. Selgitage, kuidas on viimase 3 aasta jooksul käitunud THI võrreldes:</w:t>
      </w:r>
    </w:p>
    <w:p w:rsidR="0095028F" w:rsidRPr="0095028F" w:rsidRDefault="0095028F" w:rsidP="0095028F">
      <w:pPr>
        <w:pStyle w:val="ListParagraph"/>
        <w:numPr>
          <w:ilvl w:val="1"/>
          <w:numId w:val="7"/>
        </w:numPr>
        <w:rPr>
          <w:rFonts w:ascii="Times New Roman" w:hAnsi="Times New Roman"/>
          <w:sz w:val="24"/>
          <w:szCs w:val="24"/>
        </w:rPr>
      </w:pPr>
      <w:r w:rsidRPr="0095028F">
        <w:rPr>
          <w:rFonts w:ascii="Times New Roman" w:hAnsi="Times New Roman"/>
          <w:sz w:val="24"/>
          <w:szCs w:val="24"/>
        </w:rPr>
        <w:t>üldise Eesti büroopinna üürihindade dünaamikaga;</w:t>
      </w:r>
    </w:p>
    <w:p w:rsidR="0095028F" w:rsidRPr="0095028F" w:rsidRDefault="0095028F" w:rsidP="0095028F">
      <w:pPr>
        <w:pStyle w:val="ListParagraph"/>
        <w:numPr>
          <w:ilvl w:val="1"/>
          <w:numId w:val="7"/>
        </w:numPr>
        <w:rPr>
          <w:rFonts w:ascii="Times New Roman" w:hAnsi="Times New Roman"/>
          <w:sz w:val="24"/>
          <w:szCs w:val="24"/>
        </w:rPr>
      </w:pPr>
      <w:r w:rsidRPr="0095028F">
        <w:rPr>
          <w:rFonts w:ascii="Times New Roman" w:hAnsi="Times New Roman"/>
          <w:sz w:val="24"/>
          <w:szCs w:val="24"/>
        </w:rPr>
        <w:t xml:space="preserve"> Ehitushinna indeksiga? </w:t>
      </w:r>
    </w:p>
    <w:p w:rsidR="000D6D2E" w:rsidRPr="000D6D2E" w:rsidRDefault="0095028F" w:rsidP="000D6D2E">
      <w:pPr>
        <w:autoSpaceDE w:val="0"/>
        <w:autoSpaceDN w:val="0"/>
        <w:adjustRightInd w:val="0"/>
        <w:spacing w:after="0" w:line="240" w:lineRule="auto"/>
        <w:jc w:val="both"/>
        <w:rPr>
          <w:rFonts w:ascii="Times New Roman" w:hAnsi="Times New Roman" w:cs="Times New Roman"/>
          <w:b/>
          <w:sz w:val="24"/>
          <w:szCs w:val="24"/>
        </w:rPr>
      </w:pPr>
      <w:r w:rsidRPr="0095028F">
        <w:rPr>
          <w:rFonts w:ascii="Times New Roman" w:hAnsi="Times New Roman" w:cs="Times New Roman"/>
          <w:sz w:val="24"/>
          <w:szCs w:val="24"/>
        </w:rPr>
        <w:t xml:space="preserve">Vastus: </w:t>
      </w:r>
      <w:r w:rsidR="000D6D2E" w:rsidRPr="000D6D2E">
        <w:rPr>
          <w:rFonts w:ascii="Times New Roman" w:hAnsi="Times New Roman" w:cs="Times New Roman"/>
          <w:sz w:val="24"/>
          <w:szCs w:val="24"/>
        </w:rPr>
        <w:t>EHI ja üürihindade langus on kolme viimase aasta jooksul olnud kiirem/järsem võrreldes THI-ga.</w:t>
      </w:r>
    </w:p>
    <w:p w:rsidR="0095028F" w:rsidRPr="000D6D2E" w:rsidRDefault="0095028F" w:rsidP="0095028F">
      <w:pPr>
        <w:rPr>
          <w:rFonts w:ascii="Times New Roman" w:hAnsi="Times New Roman" w:cs="Times New Roman"/>
          <w:sz w:val="24"/>
          <w:szCs w:val="24"/>
        </w:rPr>
      </w:pPr>
    </w:p>
    <w:p w:rsidR="0095028F" w:rsidRPr="0095028F" w:rsidRDefault="0095028F" w:rsidP="0095028F">
      <w:pPr>
        <w:autoSpaceDE w:val="0"/>
        <w:autoSpaceDN w:val="0"/>
        <w:adjustRightInd w:val="0"/>
        <w:spacing w:after="0" w:line="240" w:lineRule="auto"/>
        <w:jc w:val="both"/>
        <w:rPr>
          <w:rFonts w:ascii="Times New Roman" w:hAnsi="Times New Roman" w:cs="Times New Roman"/>
          <w:sz w:val="24"/>
          <w:szCs w:val="24"/>
        </w:rPr>
      </w:pPr>
      <w:r w:rsidRPr="0095028F">
        <w:rPr>
          <w:rFonts w:ascii="Times New Roman" w:hAnsi="Times New Roman" w:cs="Times New Roman"/>
          <w:sz w:val="24"/>
          <w:szCs w:val="24"/>
        </w:rPr>
        <w:t>12. Milles seisneb kasutus- ja kapitalirendilepingu erinevus finantsaruandluse mõistes praegu kehtiva RTJ 9 järgi rendilevõtja seisukohast?</w:t>
      </w:r>
    </w:p>
    <w:p w:rsidR="0095028F" w:rsidRPr="0095028F" w:rsidRDefault="0095028F" w:rsidP="0095028F">
      <w:pPr>
        <w:autoSpaceDE w:val="0"/>
        <w:autoSpaceDN w:val="0"/>
        <w:adjustRightInd w:val="0"/>
        <w:spacing w:after="0" w:line="240" w:lineRule="auto"/>
        <w:jc w:val="both"/>
        <w:rPr>
          <w:rFonts w:ascii="Times New Roman" w:hAnsi="Times New Roman" w:cs="Times New Roman"/>
          <w:sz w:val="24"/>
          <w:szCs w:val="24"/>
        </w:rPr>
      </w:pPr>
    </w:p>
    <w:p w:rsidR="0095028F" w:rsidRPr="0095028F" w:rsidRDefault="0095028F" w:rsidP="0095028F">
      <w:pPr>
        <w:autoSpaceDE w:val="0"/>
        <w:autoSpaceDN w:val="0"/>
        <w:adjustRightInd w:val="0"/>
        <w:spacing w:after="0"/>
        <w:jc w:val="both"/>
        <w:rPr>
          <w:rFonts w:ascii="Times New Roman" w:hAnsi="Times New Roman" w:cs="Times New Roman"/>
          <w:sz w:val="24"/>
          <w:szCs w:val="24"/>
        </w:rPr>
      </w:pPr>
      <w:r w:rsidRPr="0095028F">
        <w:rPr>
          <w:rFonts w:ascii="Times New Roman" w:hAnsi="Times New Roman" w:cs="Times New Roman"/>
          <w:bCs/>
          <w:sz w:val="24"/>
          <w:szCs w:val="24"/>
        </w:rPr>
        <w:t xml:space="preserve">Vastus: Kapitalirent on </w:t>
      </w:r>
      <w:r w:rsidRPr="0095028F">
        <w:rPr>
          <w:rFonts w:ascii="Times New Roman" w:hAnsi="Times New Roman" w:cs="Times New Roman"/>
          <w:sz w:val="24"/>
          <w:szCs w:val="24"/>
        </w:rPr>
        <w:t xml:space="preserve">rent, mille puhul kõik olulised vara omandiõigusega seotud </w:t>
      </w:r>
      <w:r w:rsidRPr="0095028F">
        <w:rPr>
          <w:rFonts w:ascii="Times New Roman" w:hAnsi="Times New Roman" w:cs="Times New Roman"/>
          <w:iCs/>
          <w:sz w:val="24"/>
          <w:szCs w:val="24"/>
        </w:rPr>
        <w:t xml:space="preserve">riskid </w:t>
      </w:r>
      <w:r w:rsidRPr="0095028F">
        <w:rPr>
          <w:rFonts w:ascii="Times New Roman" w:hAnsi="Times New Roman" w:cs="Times New Roman"/>
          <w:sz w:val="24"/>
          <w:szCs w:val="24"/>
        </w:rPr>
        <w:t xml:space="preserve">ja </w:t>
      </w:r>
      <w:r w:rsidRPr="0095028F">
        <w:rPr>
          <w:rFonts w:ascii="Times New Roman" w:hAnsi="Times New Roman" w:cs="Times New Roman"/>
          <w:iCs/>
          <w:sz w:val="24"/>
          <w:szCs w:val="24"/>
        </w:rPr>
        <w:t>hüved</w:t>
      </w:r>
      <w:r w:rsidRPr="0095028F">
        <w:rPr>
          <w:rFonts w:ascii="Times New Roman" w:hAnsi="Times New Roman" w:cs="Times New Roman"/>
          <w:i/>
          <w:iCs/>
          <w:sz w:val="24"/>
          <w:szCs w:val="24"/>
        </w:rPr>
        <w:t xml:space="preserve"> </w:t>
      </w:r>
      <w:r w:rsidRPr="0095028F">
        <w:rPr>
          <w:rFonts w:ascii="Times New Roman" w:hAnsi="Times New Roman" w:cs="Times New Roman"/>
          <w:sz w:val="24"/>
          <w:szCs w:val="24"/>
        </w:rPr>
        <w:t>kanduvad üle rent</w:t>
      </w:r>
      <w:r w:rsidRPr="0095028F">
        <w:rPr>
          <w:rFonts w:ascii="Times New Roman" w:hAnsi="Times New Roman" w:cs="Times New Roman"/>
          <w:sz w:val="24"/>
          <w:szCs w:val="24"/>
        </w:rPr>
        <w:softHyphen/>
        <w:t>ni</w:t>
      </w:r>
      <w:r w:rsidRPr="0095028F">
        <w:rPr>
          <w:rFonts w:ascii="Times New Roman" w:hAnsi="Times New Roman" w:cs="Times New Roman"/>
          <w:sz w:val="24"/>
          <w:szCs w:val="24"/>
        </w:rPr>
        <w:softHyphen/>
        <w:t>kule. Omandiõigus võib, kuid ei pruugi, lõppkokkuvõttes rentnikule üle minna. Kasutusrent on see, mis ei ole kapi</w:t>
      </w:r>
      <w:r w:rsidRPr="0095028F">
        <w:rPr>
          <w:rFonts w:ascii="Times New Roman" w:hAnsi="Times New Roman" w:cs="Times New Roman"/>
          <w:sz w:val="24"/>
          <w:szCs w:val="24"/>
        </w:rPr>
        <w:softHyphen/>
        <w:t>ta</w:t>
      </w:r>
      <w:r w:rsidRPr="0095028F">
        <w:rPr>
          <w:rFonts w:ascii="Times New Roman" w:hAnsi="Times New Roman" w:cs="Times New Roman"/>
          <w:sz w:val="24"/>
          <w:szCs w:val="24"/>
        </w:rPr>
        <w:softHyphen/>
        <w:t>lirent.</w:t>
      </w:r>
    </w:p>
    <w:p w:rsidR="0095028F" w:rsidRPr="0095028F" w:rsidRDefault="0095028F" w:rsidP="0095028F">
      <w:pPr>
        <w:autoSpaceDE w:val="0"/>
        <w:autoSpaceDN w:val="0"/>
        <w:adjustRightInd w:val="0"/>
        <w:spacing w:before="120" w:after="0"/>
        <w:jc w:val="both"/>
        <w:rPr>
          <w:rFonts w:ascii="Times New Roman" w:hAnsi="Times New Roman" w:cs="Times New Roman"/>
          <w:sz w:val="24"/>
          <w:szCs w:val="24"/>
        </w:rPr>
      </w:pPr>
      <w:r w:rsidRPr="0095028F">
        <w:rPr>
          <w:rFonts w:ascii="Times New Roman" w:hAnsi="Times New Roman" w:cs="Times New Roman"/>
          <w:sz w:val="24"/>
          <w:szCs w:val="24"/>
        </w:rPr>
        <w:t>Kasutusrendi arvestus rendilevõtja raamatupidamises: vara bilansis arvele ei võta; rendimaksed tekkepõhiselt kulu</w:t>
      </w:r>
      <w:r w:rsidRPr="0095028F">
        <w:rPr>
          <w:rFonts w:ascii="Times New Roman" w:hAnsi="Times New Roman" w:cs="Times New Roman"/>
          <w:sz w:val="24"/>
          <w:szCs w:val="24"/>
        </w:rPr>
        <w:softHyphen/>
        <w:t xml:space="preserve">des; endi ettemaksed on tulevaste perioodide kulu. </w:t>
      </w:r>
    </w:p>
    <w:p w:rsidR="0095028F" w:rsidRDefault="0095028F" w:rsidP="0095028F">
      <w:pPr>
        <w:autoSpaceDE w:val="0"/>
        <w:autoSpaceDN w:val="0"/>
        <w:adjustRightInd w:val="0"/>
        <w:spacing w:before="120" w:after="0"/>
        <w:jc w:val="both"/>
        <w:rPr>
          <w:rFonts w:ascii="Times New Roman" w:hAnsi="Times New Roman" w:cs="Times New Roman"/>
          <w:sz w:val="24"/>
          <w:szCs w:val="24"/>
        </w:rPr>
      </w:pPr>
      <w:r w:rsidRPr="0095028F">
        <w:rPr>
          <w:rFonts w:ascii="Times New Roman" w:hAnsi="Times New Roman" w:cs="Times New Roman"/>
          <w:sz w:val="24"/>
          <w:szCs w:val="24"/>
        </w:rPr>
        <w:t>Kapitalirendi arvestus rendilevõtja raamatupidamises: võtab arvele vara ja amortiseerib kasuliku eluea jooksul; võtab ülesse kohustuse (= tehtavad rendimaksed ilma intressita); intress on perioodi finantskulu.</w:t>
      </w:r>
    </w:p>
    <w:p w:rsidR="002C7403" w:rsidRDefault="002C7403" w:rsidP="0095028F">
      <w:pPr>
        <w:autoSpaceDE w:val="0"/>
        <w:autoSpaceDN w:val="0"/>
        <w:adjustRightInd w:val="0"/>
        <w:spacing w:before="120" w:after="0"/>
        <w:jc w:val="both"/>
        <w:rPr>
          <w:rFonts w:ascii="Times New Roman" w:hAnsi="Times New Roman" w:cs="Times New Roman"/>
          <w:sz w:val="24"/>
          <w:szCs w:val="24"/>
        </w:rPr>
      </w:pPr>
      <w:bookmarkStart w:id="0" w:name="_GoBack"/>
      <w:bookmarkEnd w:id="0"/>
    </w:p>
    <w:p w:rsidR="002C7403" w:rsidRPr="002C7403" w:rsidRDefault="002C7403" w:rsidP="002C7403">
      <w:pPr>
        <w:pStyle w:val="BodyText2"/>
        <w:rPr>
          <w:rFonts w:ascii="Times New Roman" w:hAnsi="Times New Roman" w:cs="Times New Roman"/>
          <w:bCs/>
          <w:sz w:val="24"/>
          <w:szCs w:val="24"/>
          <w:lang w:val="et-EE"/>
        </w:rPr>
      </w:pPr>
      <w:r w:rsidRPr="002C7403">
        <w:rPr>
          <w:rFonts w:ascii="Times New Roman" w:hAnsi="Times New Roman" w:cs="Times New Roman"/>
          <w:bCs/>
          <w:sz w:val="24"/>
          <w:szCs w:val="24"/>
          <w:lang w:val="et-EE"/>
        </w:rPr>
        <w:t>13. Milles seisneb maa korralise ja maa erakorralise hindamise erinevus.</w:t>
      </w:r>
    </w:p>
    <w:p w:rsidR="002C7403" w:rsidRPr="002C7403" w:rsidRDefault="002C7403" w:rsidP="002C7403">
      <w:pPr>
        <w:pStyle w:val="BodyText2"/>
        <w:rPr>
          <w:rFonts w:ascii="Times New Roman" w:hAnsi="Times New Roman" w:cs="Times New Roman"/>
          <w:bCs/>
          <w:sz w:val="24"/>
          <w:szCs w:val="24"/>
          <w:lang w:val="et-EE"/>
        </w:rPr>
      </w:pPr>
    </w:p>
    <w:p w:rsidR="002C7403" w:rsidRPr="002C7403" w:rsidRDefault="002C7403" w:rsidP="002C7403">
      <w:pPr>
        <w:pStyle w:val="BodyTextIndent2"/>
        <w:ind w:left="0"/>
      </w:pPr>
      <w:proofErr w:type="spellStart"/>
      <w:r w:rsidRPr="002C7403">
        <w:t>VastusKorralise</w:t>
      </w:r>
      <w:proofErr w:type="spellEnd"/>
      <w:r w:rsidRPr="002C7403">
        <w:t xml:space="preserve"> hindamise objektiks on maatükk ilma sellel asuvate ehitiste, kasvava metsa, muude taimede ja päraldisteta, kuid erakorralisel hindamisel võib hindamise objektiks olla ka maatükk koos selle oluliste osade ja päraldistega. </w:t>
      </w:r>
    </w:p>
    <w:p w:rsidR="002C7403" w:rsidRPr="002C7403" w:rsidRDefault="002C7403" w:rsidP="002C7403">
      <w:pPr>
        <w:rPr>
          <w:rFonts w:ascii="Times New Roman" w:eastAsia="Calibri" w:hAnsi="Times New Roman" w:cs="Times New Roman"/>
          <w:sz w:val="24"/>
          <w:szCs w:val="24"/>
        </w:rPr>
      </w:pPr>
      <w:r w:rsidRPr="002C7403">
        <w:rPr>
          <w:rFonts w:ascii="Times New Roman" w:eastAsia="Calibri" w:hAnsi="Times New Roman" w:cs="Times New Roman"/>
          <w:sz w:val="24"/>
          <w:szCs w:val="24"/>
        </w:rPr>
        <w:t xml:space="preserve">Korraline hindamine on “masshindamine”, mis viiakse läbi maksustamise eesmärgil ja selle tulemusena leitakse maa väärtus tsoonide ja sihtotstarvete või kõlvikute kaupa. </w:t>
      </w:r>
    </w:p>
    <w:p w:rsidR="002C7403" w:rsidRPr="002C7403" w:rsidRDefault="002C7403" w:rsidP="002C7403">
      <w:pPr>
        <w:rPr>
          <w:rFonts w:ascii="Times New Roman" w:eastAsia="Calibri" w:hAnsi="Times New Roman" w:cs="Times New Roman"/>
          <w:sz w:val="24"/>
          <w:szCs w:val="24"/>
        </w:rPr>
      </w:pPr>
      <w:r w:rsidRPr="002C7403">
        <w:rPr>
          <w:rFonts w:ascii="Times New Roman" w:eastAsia="Calibri" w:hAnsi="Times New Roman" w:cs="Times New Roman"/>
          <w:sz w:val="24"/>
          <w:szCs w:val="24"/>
        </w:rPr>
        <w:t>Erakorralisel hindamisel hinnatakse üksikuid objekte näiteks sundvõõrandamisel.</w:t>
      </w:r>
    </w:p>
    <w:p w:rsidR="002C7403" w:rsidRPr="002C7403" w:rsidRDefault="002C7403" w:rsidP="002C7403">
      <w:pPr>
        <w:ind w:left="720"/>
        <w:rPr>
          <w:rFonts w:ascii="Times New Roman" w:eastAsia="Calibri" w:hAnsi="Times New Roman" w:cs="Times New Roman"/>
          <w:sz w:val="24"/>
          <w:szCs w:val="24"/>
        </w:rPr>
      </w:pPr>
    </w:p>
    <w:p w:rsidR="002C7403" w:rsidRPr="002C7403" w:rsidRDefault="002C7403" w:rsidP="002C7403">
      <w:pPr>
        <w:spacing w:after="0" w:line="240" w:lineRule="auto"/>
        <w:rPr>
          <w:rFonts w:ascii="Times New Roman" w:eastAsia="Calibri" w:hAnsi="Times New Roman" w:cs="Times New Roman"/>
          <w:bCs/>
          <w:sz w:val="24"/>
          <w:szCs w:val="24"/>
        </w:rPr>
      </w:pPr>
      <w:r w:rsidRPr="002C7403">
        <w:rPr>
          <w:rFonts w:ascii="Times New Roman" w:hAnsi="Times New Roman" w:cs="Times New Roman"/>
          <w:bCs/>
          <w:sz w:val="24"/>
          <w:szCs w:val="24"/>
        </w:rPr>
        <w:t xml:space="preserve">14. </w:t>
      </w:r>
      <w:r w:rsidRPr="002C7403">
        <w:rPr>
          <w:rFonts w:ascii="Times New Roman" w:eastAsia="Calibri" w:hAnsi="Times New Roman" w:cs="Times New Roman"/>
          <w:bCs/>
          <w:sz w:val="24"/>
          <w:szCs w:val="24"/>
        </w:rPr>
        <w:t>Milline maakorraldustoiming on vajalik selleks, et ehitada suvila maatulundusmaa sihtotstarbega katastriüksusele, millel ei asu ehitisi.</w:t>
      </w:r>
    </w:p>
    <w:p w:rsidR="002C7403" w:rsidRPr="002C7403" w:rsidRDefault="002C7403" w:rsidP="002C7403">
      <w:pPr>
        <w:ind w:left="720"/>
        <w:rPr>
          <w:rFonts w:ascii="Times New Roman" w:eastAsia="Calibri" w:hAnsi="Times New Roman" w:cs="Times New Roman"/>
          <w:sz w:val="24"/>
          <w:szCs w:val="24"/>
        </w:rPr>
      </w:pPr>
    </w:p>
    <w:p w:rsidR="002C7403" w:rsidRPr="002C7403" w:rsidRDefault="002C7403" w:rsidP="002C7403">
      <w:pPr>
        <w:rPr>
          <w:rFonts w:ascii="Times New Roman" w:eastAsia="Calibri" w:hAnsi="Times New Roman" w:cs="Times New Roman"/>
          <w:sz w:val="24"/>
          <w:szCs w:val="24"/>
        </w:rPr>
      </w:pPr>
      <w:r w:rsidRPr="002C7403">
        <w:rPr>
          <w:rFonts w:ascii="Times New Roman" w:hAnsi="Times New Roman" w:cs="Times New Roman"/>
          <w:sz w:val="24"/>
          <w:szCs w:val="24"/>
        </w:rPr>
        <w:t xml:space="preserve">Vastus: </w:t>
      </w:r>
      <w:r w:rsidRPr="002C7403">
        <w:rPr>
          <w:rFonts w:ascii="Times New Roman" w:eastAsia="Calibri" w:hAnsi="Times New Roman" w:cs="Times New Roman"/>
          <w:sz w:val="24"/>
          <w:szCs w:val="24"/>
        </w:rPr>
        <w:t>Katastriüksuse jagamine (moodustatakse iseseisev ehitise alust ning selle teenindamiseks vajalikku maad hõlmav katastriüksus).</w:t>
      </w:r>
    </w:p>
    <w:p w:rsidR="002C7403" w:rsidRDefault="002C7403" w:rsidP="002C7403">
      <w:pPr>
        <w:rPr>
          <w:rFonts w:ascii="Times New Roman" w:hAnsi="Times New Roman" w:cs="Times New Roman"/>
          <w:sz w:val="24"/>
          <w:szCs w:val="24"/>
        </w:rPr>
      </w:pPr>
    </w:p>
    <w:p w:rsidR="002C7403" w:rsidRPr="002C7403" w:rsidRDefault="002C7403" w:rsidP="002C7403">
      <w:pPr>
        <w:rPr>
          <w:rFonts w:ascii="Times New Roman" w:hAnsi="Times New Roman" w:cs="Times New Roman"/>
          <w:sz w:val="24"/>
          <w:szCs w:val="24"/>
        </w:rPr>
      </w:pPr>
      <w:r w:rsidRPr="002C7403">
        <w:rPr>
          <w:rFonts w:ascii="Times New Roman" w:hAnsi="Times New Roman" w:cs="Times New Roman"/>
          <w:sz w:val="24"/>
          <w:szCs w:val="24"/>
        </w:rPr>
        <w:t>15. Millised on omanikujärelevalve põhikohustused?</w:t>
      </w:r>
    </w:p>
    <w:p w:rsidR="002C7403" w:rsidRPr="002C7403" w:rsidRDefault="002C7403" w:rsidP="002C7403">
      <w:pPr>
        <w:rPr>
          <w:rFonts w:ascii="Times New Roman" w:hAnsi="Times New Roman" w:cs="Times New Roman"/>
          <w:sz w:val="24"/>
          <w:szCs w:val="24"/>
        </w:rPr>
      </w:pPr>
      <w:r>
        <w:rPr>
          <w:rStyle w:val="tekst4"/>
          <w:rFonts w:ascii="Times New Roman" w:hAnsi="Times New Roman" w:cs="Times New Roman"/>
          <w:color w:val="595959"/>
          <w:sz w:val="24"/>
          <w:szCs w:val="24"/>
        </w:rPr>
        <w:lastRenderedPageBreak/>
        <w:t>Vastus: O</w:t>
      </w:r>
      <w:r w:rsidRPr="002C7403">
        <w:rPr>
          <w:rStyle w:val="tekst4"/>
          <w:rFonts w:ascii="Times New Roman" w:hAnsi="Times New Roman" w:cs="Times New Roman"/>
          <w:color w:val="595959"/>
          <w:sz w:val="24"/>
          <w:szCs w:val="24"/>
        </w:rPr>
        <w:t>manikujärelevalve tegemise eesmärk on tagada:</w:t>
      </w:r>
      <w:r w:rsidRPr="002C7403">
        <w:rPr>
          <w:rFonts w:ascii="Times New Roman" w:hAnsi="Times New Roman" w:cs="Times New Roman"/>
          <w:color w:val="595959"/>
          <w:sz w:val="24"/>
          <w:szCs w:val="24"/>
        </w:rPr>
        <w:br/>
      </w:r>
      <w:r w:rsidRPr="002C7403">
        <w:rPr>
          <w:rStyle w:val="tekst4"/>
          <w:rFonts w:ascii="Times New Roman" w:hAnsi="Times New Roman" w:cs="Times New Roman"/>
          <w:color w:val="595959"/>
          <w:sz w:val="24"/>
          <w:szCs w:val="24"/>
        </w:rPr>
        <w:t>1) ehitusprojektikohane ehitamine;</w:t>
      </w:r>
      <w:r w:rsidRPr="002C7403">
        <w:rPr>
          <w:rFonts w:ascii="Times New Roman" w:hAnsi="Times New Roman" w:cs="Times New Roman"/>
          <w:color w:val="595959"/>
          <w:sz w:val="24"/>
          <w:szCs w:val="24"/>
        </w:rPr>
        <w:br/>
      </w:r>
      <w:r w:rsidRPr="002C7403">
        <w:rPr>
          <w:rStyle w:val="tekst4"/>
          <w:rFonts w:ascii="Times New Roman" w:hAnsi="Times New Roman" w:cs="Times New Roman"/>
          <w:color w:val="595959"/>
          <w:sz w:val="24"/>
          <w:szCs w:val="24"/>
        </w:rPr>
        <w:t>2) ehitamise tehniliste dokumentide koostamine;</w:t>
      </w:r>
      <w:r w:rsidRPr="002C7403">
        <w:rPr>
          <w:rFonts w:ascii="Times New Roman" w:hAnsi="Times New Roman" w:cs="Times New Roman"/>
          <w:color w:val="595959"/>
          <w:sz w:val="24"/>
          <w:szCs w:val="24"/>
        </w:rPr>
        <w:br/>
      </w:r>
      <w:r w:rsidRPr="002C7403">
        <w:rPr>
          <w:rStyle w:val="tekst4"/>
          <w:rFonts w:ascii="Times New Roman" w:hAnsi="Times New Roman" w:cs="Times New Roman"/>
          <w:color w:val="595959"/>
          <w:sz w:val="24"/>
          <w:szCs w:val="24"/>
        </w:rPr>
        <w:t>3) ehitustööde nõuetekohane kvaliteet.</w:t>
      </w:r>
    </w:p>
    <w:p w:rsidR="002C7403" w:rsidRPr="002C7403" w:rsidRDefault="002C7403" w:rsidP="002C7403">
      <w:pPr>
        <w:rPr>
          <w:rFonts w:ascii="Times New Roman" w:eastAsia="Calibri" w:hAnsi="Times New Roman" w:cs="Times New Roman"/>
          <w:sz w:val="24"/>
          <w:szCs w:val="24"/>
        </w:rPr>
      </w:pPr>
    </w:p>
    <w:p w:rsidR="002C7403" w:rsidRPr="0095028F" w:rsidRDefault="002C7403" w:rsidP="0095028F">
      <w:pPr>
        <w:autoSpaceDE w:val="0"/>
        <w:autoSpaceDN w:val="0"/>
        <w:adjustRightInd w:val="0"/>
        <w:spacing w:before="120" w:after="0"/>
        <w:jc w:val="both"/>
        <w:rPr>
          <w:rFonts w:ascii="Times New Roman" w:hAnsi="Times New Roman" w:cs="Times New Roman"/>
          <w:sz w:val="24"/>
          <w:szCs w:val="24"/>
        </w:rPr>
      </w:pPr>
    </w:p>
    <w:p w:rsidR="0095028F" w:rsidRPr="0095028F" w:rsidRDefault="0095028F" w:rsidP="007C6A43">
      <w:pPr>
        <w:ind w:left="720" w:hanging="720"/>
        <w:jc w:val="both"/>
        <w:rPr>
          <w:rFonts w:ascii="Times New Roman" w:eastAsia="Calibri" w:hAnsi="Times New Roman" w:cs="Times New Roman"/>
          <w:sz w:val="24"/>
          <w:szCs w:val="24"/>
        </w:rPr>
      </w:pPr>
    </w:p>
    <w:p w:rsidR="007C6A43" w:rsidRDefault="007C6A43" w:rsidP="007C6A43">
      <w:pPr>
        <w:jc w:val="both"/>
        <w:rPr>
          <w:rFonts w:ascii="Times New Roman" w:hAnsi="Times New Roman" w:cs="Times New Roman"/>
          <w:sz w:val="24"/>
          <w:szCs w:val="24"/>
        </w:rPr>
      </w:pPr>
    </w:p>
    <w:p w:rsidR="007C6A43" w:rsidRPr="00F92730" w:rsidRDefault="007C6A43" w:rsidP="00F92730">
      <w:pPr>
        <w:pStyle w:val="NormalWeb"/>
        <w:jc w:val="both"/>
        <w:rPr>
          <w:rFonts w:eastAsia="Calibri"/>
          <w:lang w:eastAsia="en-US"/>
        </w:rPr>
      </w:pPr>
    </w:p>
    <w:p w:rsidR="00F92730" w:rsidRPr="00F92730" w:rsidRDefault="00F92730" w:rsidP="00F92730">
      <w:pPr>
        <w:jc w:val="both"/>
        <w:rPr>
          <w:rFonts w:ascii="Times New Roman" w:hAnsi="Times New Roman" w:cs="Times New Roman"/>
          <w:sz w:val="24"/>
          <w:szCs w:val="24"/>
        </w:rPr>
      </w:pPr>
    </w:p>
    <w:p w:rsidR="008A45D1" w:rsidRDefault="008A45D1" w:rsidP="008A45D1">
      <w:pPr>
        <w:spacing w:after="0" w:line="240" w:lineRule="auto"/>
        <w:jc w:val="both"/>
        <w:rPr>
          <w:rFonts w:ascii="Book Antiqua" w:hAnsi="Book Antiqua"/>
        </w:rPr>
      </w:pPr>
    </w:p>
    <w:p w:rsidR="008A45D1" w:rsidRPr="008A45D1" w:rsidRDefault="008A45D1">
      <w:pPr>
        <w:rPr>
          <w:rFonts w:ascii="Times New Roman" w:hAnsi="Times New Roman" w:cs="Times New Roman"/>
          <w:b/>
          <w:sz w:val="24"/>
          <w:szCs w:val="24"/>
        </w:rPr>
      </w:pPr>
    </w:p>
    <w:sectPr w:rsidR="008A45D1" w:rsidRPr="008A45D1" w:rsidSect="00C649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E0002AFF" w:usb1="C0007843" w:usb2="00000009" w:usb3="00000000" w:csb0="000001FF" w:csb1="00000000"/>
  </w:font>
  <w:font w:name="Book Antiqua">
    <w:panose1 w:val="02040602050305030304"/>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E6E4E"/>
    <w:multiLevelType w:val="hybridMultilevel"/>
    <w:tmpl w:val="4F44547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838E6A5E">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C610913"/>
    <w:multiLevelType w:val="hybridMultilevel"/>
    <w:tmpl w:val="24AE971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nsid w:val="10096D95"/>
    <w:multiLevelType w:val="hybridMultilevel"/>
    <w:tmpl w:val="08841CD0"/>
    <w:lvl w:ilvl="0" w:tplc="DB0CEF32">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3">
    <w:nsid w:val="1D1D194E"/>
    <w:multiLevelType w:val="hybridMultilevel"/>
    <w:tmpl w:val="B1B627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D2E2EC5"/>
    <w:multiLevelType w:val="hybridMultilevel"/>
    <w:tmpl w:val="24AE971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nsid w:val="47E437CA"/>
    <w:multiLevelType w:val="hybridMultilevel"/>
    <w:tmpl w:val="EE9EE58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nsid w:val="4E5A1350"/>
    <w:multiLevelType w:val="hybridMultilevel"/>
    <w:tmpl w:val="59DE132C"/>
    <w:lvl w:ilvl="0" w:tplc="0425000F">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nsid w:val="67381AD5"/>
    <w:multiLevelType w:val="hybridMultilevel"/>
    <w:tmpl w:val="2ABCD1F6"/>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nsid w:val="6DDD7AC1"/>
    <w:multiLevelType w:val="hybridMultilevel"/>
    <w:tmpl w:val="37B217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2"/>
  </w:num>
  <w:num w:numId="3">
    <w:abstractNumId w:val="5"/>
  </w:num>
  <w:num w:numId="4">
    <w:abstractNumId w:val="1"/>
  </w:num>
  <w:num w:numId="5">
    <w:abstractNumId w:val="4"/>
  </w:num>
  <w:num w:numId="6">
    <w:abstractNumId w:val="6"/>
  </w:num>
  <w:num w:numId="7">
    <w:abstractNumId w:val="7"/>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8A45D1"/>
    <w:rsid w:val="000D6D2E"/>
    <w:rsid w:val="002C7403"/>
    <w:rsid w:val="007C6A43"/>
    <w:rsid w:val="008A45D1"/>
    <w:rsid w:val="0095028F"/>
    <w:rsid w:val="00C6495C"/>
    <w:rsid w:val="00F9273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9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92730"/>
    <w:pPr>
      <w:ind w:left="720"/>
      <w:contextualSpacing/>
    </w:pPr>
    <w:rPr>
      <w:rFonts w:ascii="Calibri" w:eastAsia="Calibri" w:hAnsi="Calibri" w:cs="Times New Roman"/>
    </w:rPr>
  </w:style>
  <w:style w:type="paragraph" w:styleId="NormalWeb">
    <w:name w:val="Normal (Web)"/>
    <w:basedOn w:val="Normal"/>
    <w:uiPriority w:val="99"/>
    <w:unhideWhenUsed/>
    <w:rsid w:val="00F92730"/>
    <w:pPr>
      <w:spacing w:before="100" w:beforeAutospacing="1" w:after="100" w:afterAutospacing="1" w:line="240" w:lineRule="auto"/>
    </w:pPr>
    <w:rPr>
      <w:rFonts w:ascii="Times New Roman" w:eastAsia="Times New Roman" w:hAnsi="Times New Roman" w:cs="Times New Roman"/>
      <w:sz w:val="24"/>
      <w:szCs w:val="24"/>
      <w:lang w:eastAsia="et-EE"/>
    </w:rPr>
  </w:style>
  <w:style w:type="paragraph" w:styleId="BodyText2">
    <w:name w:val="Body Text 2"/>
    <w:basedOn w:val="Normal"/>
    <w:link w:val="BodyText2Char"/>
    <w:semiHidden/>
    <w:rsid w:val="002C7403"/>
    <w:pPr>
      <w:spacing w:after="0" w:line="240" w:lineRule="auto"/>
    </w:pPr>
    <w:rPr>
      <w:rFonts w:ascii="Arial" w:eastAsia="Times New Roman" w:hAnsi="Arial" w:cs="Arial"/>
      <w:sz w:val="20"/>
      <w:szCs w:val="20"/>
      <w:lang w:val="en-US"/>
    </w:rPr>
  </w:style>
  <w:style w:type="character" w:customStyle="1" w:styleId="BodyText2Char">
    <w:name w:val="Body Text 2 Char"/>
    <w:basedOn w:val="DefaultParagraphFont"/>
    <w:link w:val="BodyText2"/>
    <w:semiHidden/>
    <w:rsid w:val="002C7403"/>
    <w:rPr>
      <w:rFonts w:ascii="Arial" w:eastAsia="Times New Roman" w:hAnsi="Arial" w:cs="Arial"/>
      <w:sz w:val="20"/>
      <w:szCs w:val="20"/>
      <w:lang w:val="en-US"/>
    </w:rPr>
  </w:style>
  <w:style w:type="paragraph" w:styleId="BodyTextIndent2">
    <w:name w:val="Body Text Indent 2"/>
    <w:basedOn w:val="Normal"/>
    <w:link w:val="BodyTextIndent2Char"/>
    <w:semiHidden/>
    <w:rsid w:val="002C7403"/>
    <w:pPr>
      <w:spacing w:after="0" w:line="240" w:lineRule="auto"/>
      <w:ind w:left="144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semiHidden/>
    <w:rsid w:val="002C7403"/>
    <w:rPr>
      <w:rFonts w:ascii="Times New Roman" w:eastAsia="Times New Roman" w:hAnsi="Times New Roman" w:cs="Times New Roman"/>
      <w:sz w:val="24"/>
      <w:szCs w:val="24"/>
    </w:rPr>
  </w:style>
  <w:style w:type="character" w:customStyle="1" w:styleId="tekst4">
    <w:name w:val="tekst4"/>
    <w:basedOn w:val="DefaultParagraphFont"/>
    <w:rsid w:val="002C74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t-EE" w:eastAsia="et-E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1006</Words>
  <Characters>5835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Tallinna Tehnikaülikool</Company>
  <LinksUpToDate>false</LinksUpToDate>
  <CharactersWithSpaces>6828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kasutaja</cp:lastModifiedBy>
  <cp:revision>6</cp:revision>
  <dcterms:created xsi:type="dcterms:W3CDTF">2010-11-16T17:08:00Z</dcterms:created>
  <dcterms:modified xsi:type="dcterms:W3CDTF">2010-11-24T08:42:00Z</dcterms:modified>
</cp:coreProperties>
</file>