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5C" w:rsidRPr="0092051C" w:rsidRDefault="008E35E2">
      <w:pPr>
        <w:rPr>
          <w:rFonts w:ascii="Times New Roman" w:hAnsi="Times New Roman" w:cs="Times New Roman"/>
          <w:b/>
          <w:sz w:val="24"/>
          <w:szCs w:val="24"/>
        </w:rPr>
      </w:pPr>
      <w:r w:rsidRPr="0092051C">
        <w:rPr>
          <w:rFonts w:ascii="Times New Roman" w:hAnsi="Times New Roman" w:cs="Times New Roman"/>
          <w:b/>
          <w:sz w:val="24"/>
          <w:szCs w:val="24"/>
        </w:rPr>
        <w:t>IV tase                                      KOOD……………………..</w:t>
      </w:r>
    </w:p>
    <w:p w:rsidR="008E35E2" w:rsidRPr="0092051C" w:rsidRDefault="008E35E2">
      <w:pPr>
        <w:rPr>
          <w:rFonts w:ascii="Times New Roman" w:hAnsi="Times New Roman" w:cs="Times New Roman"/>
          <w:b/>
          <w:sz w:val="24"/>
          <w:szCs w:val="24"/>
        </w:rPr>
      </w:pPr>
      <w:r w:rsidRPr="0092051C">
        <w:rPr>
          <w:rFonts w:ascii="Times New Roman" w:hAnsi="Times New Roman" w:cs="Times New Roman"/>
          <w:b/>
          <w:sz w:val="24"/>
          <w:szCs w:val="24"/>
        </w:rPr>
        <w:t>Teoreetilised küsimused</w:t>
      </w:r>
    </w:p>
    <w:p w:rsidR="0092051C" w:rsidRPr="00774540" w:rsidRDefault="008E35E2" w:rsidP="0092051C">
      <w:pPr>
        <w:spacing w:after="0" w:line="240" w:lineRule="auto"/>
        <w:jc w:val="both"/>
        <w:rPr>
          <w:rFonts w:ascii="Book Antiqua" w:hAnsi="Book Antiqua"/>
        </w:rPr>
      </w:pPr>
      <w:r w:rsidRPr="00774540">
        <w:t xml:space="preserve">1. </w:t>
      </w:r>
      <w:r w:rsidR="0092051C" w:rsidRPr="00774540">
        <w:rPr>
          <w:rFonts w:ascii="Book Antiqua" w:hAnsi="Book Antiqua"/>
        </w:rPr>
        <w:t>Mida tähendab ehitise garantii ehitusseaduse tähenduses?</w:t>
      </w:r>
    </w:p>
    <w:p w:rsidR="0092051C" w:rsidRPr="00AD1456" w:rsidRDefault="0092051C" w:rsidP="0092051C">
      <w:pPr>
        <w:ind w:left="720"/>
        <w:jc w:val="both"/>
        <w:rPr>
          <w:rFonts w:ascii="Book Antiqua" w:hAnsi="Book Antiqua"/>
        </w:rPr>
      </w:pPr>
    </w:p>
    <w:p w:rsidR="0092051C" w:rsidRPr="00AD1456" w:rsidRDefault="0092051C" w:rsidP="0092051C">
      <w:pPr>
        <w:jc w:val="both"/>
        <w:rPr>
          <w:rFonts w:ascii="Book Antiqua" w:hAnsi="Book Antiqua"/>
        </w:rPr>
      </w:pPr>
      <w:r>
        <w:rPr>
          <w:rFonts w:ascii="Book Antiqua" w:hAnsi="Book Antiqua"/>
        </w:rPr>
        <w:t xml:space="preserve">Vastus : </w:t>
      </w:r>
      <w:r w:rsidRPr="00AD1456">
        <w:rPr>
          <w:rFonts w:ascii="Book Antiqua" w:hAnsi="Book Antiqua"/>
        </w:rPr>
        <w:t>Ehitusseaduse tähenduses on garantii ehitusettevõtja poolt võetud kohustus tagada, et tema tehtud ehitustöö vastab lepingu tingimustele ning ehitustöö tulemusena ehitatud ehitisel või selle osal säilivad määratud aja jooksul sihipärase kasutamise ja hooldamise korral ehitise või selle osa kasutamiseks vajalikud ohutuse ja kasutamise omadused ning kvaliteet.</w:t>
      </w:r>
    </w:p>
    <w:p w:rsidR="0092051C" w:rsidRPr="00774540" w:rsidRDefault="0092051C" w:rsidP="0092051C">
      <w:pPr>
        <w:spacing w:after="0" w:line="240" w:lineRule="auto"/>
        <w:jc w:val="both"/>
        <w:rPr>
          <w:rFonts w:ascii="Book Antiqua" w:hAnsi="Book Antiqua"/>
        </w:rPr>
      </w:pPr>
      <w:r w:rsidRPr="00774540">
        <w:rPr>
          <w:rFonts w:ascii="Book Antiqua" w:hAnsi="Book Antiqua"/>
        </w:rPr>
        <w:t xml:space="preserve">2. Mis on kinnisomand? </w:t>
      </w:r>
    </w:p>
    <w:p w:rsidR="0092051C" w:rsidRDefault="0092051C" w:rsidP="0092051C">
      <w:pPr>
        <w:ind w:left="720"/>
        <w:jc w:val="both"/>
        <w:rPr>
          <w:rFonts w:ascii="Book Antiqua" w:hAnsi="Book Antiqua"/>
        </w:rPr>
      </w:pPr>
    </w:p>
    <w:p w:rsidR="0092051C" w:rsidRDefault="0092051C" w:rsidP="0092051C">
      <w:pPr>
        <w:jc w:val="both"/>
        <w:rPr>
          <w:rFonts w:ascii="Book Antiqua" w:hAnsi="Book Antiqua"/>
        </w:rPr>
      </w:pPr>
      <w:r>
        <w:rPr>
          <w:rFonts w:ascii="Book Antiqua" w:hAnsi="Book Antiqua"/>
        </w:rPr>
        <w:t>Vastus: Tulenevalt asjade jaotusest kinnis- ja vallasasjadest jaguneb ka omand kinnis- ja vallasomandiks. Kinnisomand tekib ja lõpeb kinnistusraamatusse kandmisega.</w:t>
      </w:r>
    </w:p>
    <w:p w:rsidR="0092051C" w:rsidRPr="00774540" w:rsidRDefault="0092051C" w:rsidP="0092051C">
      <w:pPr>
        <w:spacing w:after="0" w:line="240" w:lineRule="auto"/>
        <w:jc w:val="both"/>
        <w:rPr>
          <w:rFonts w:ascii="Book Antiqua" w:hAnsi="Book Antiqua"/>
        </w:rPr>
      </w:pPr>
      <w:r w:rsidRPr="00774540">
        <w:rPr>
          <w:rFonts w:ascii="Book Antiqua" w:hAnsi="Book Antiqua"/>
        </w:rPr>
        <w:t>3. Mis on hoonestusõigus?</w:t>
      </w:r>
    </w:p>
    <w:p w:rsidR="0092051C" w:rsidRDefault="0092051C" w:rsidP="0092051C">
      <w:pPr>
        <w:ind w:left="720"/>
        <w:jc w:val="both"/>
        <w:rPr>
          <w:rFonts w:ascii="Book Antiqua" w:hAnsi="Book Antiqua"/>
        </w:rPr>
      </w:pPr>
    </w:p>
    <w:p w:rsidR="0092051C" w:rsidRDefault="0092051C" w:rsidP="0092051C">
      <w:pPr>
        <w:jc w:val="both"/>
        <w:rPr>
          <w:rFonts w:ascii="Book Antiqua" w:hAnsi="Book Antiqua"/>
        </w:rPr>
      </w:pPr>
      <w:r>
        <w:rPr>
          <w:rFonts w:ascii="Book Antiqua" w:hAnsi="Book Antiqua"/>
        </w:rPr>
        <w:t>Vastus: Võõrandatav ja pärandatav tähtajaline õigus omada kinnisasjal sellega püsivalt ühendatud ehitist. Ühele kinnisasjale võib seada ainult ühe hoonestusõiguse.</w:t>
      </w:r>
    </w:p>
    <w:p w:rsidR="00774540" w:rsidRPr="00774540" w:rsidRDefault="00774540" w:rsidP="00774540">
      <w:pPr>
        <w:jc w:val="both"/>
        <w:rPr>
          <w:rFonts w:ascii="Times New Roman" w:hAnsi="Times New Roman" w:cs="Times New Roman"/>
          <w:sz w:val="24"/>
          <w:szCs w:val="24"/>
        </w:rPr>
      </w:pPr>
      <w:r w:rsidRPr="00774540">
        <w:rPr>
          <w:rFonts w:ascii="Times New Roman" w:hAnsi="Times New Roman" w:cs="Times New Roman"/>
          <w:sz w:val="24"/>
          <w:szCs w:val="24"/>
        </w:rPr>
        <w:t>4. Mida tähendab detailplaneeringu kohustus ja kuidas määratakse kindlaks detailplaneeringu kohustusega alad?</w:t>
      </w:r>
    </w:p>
    <w:p w:rsidR="00774540" w:rsidRPr="00774540" w:rsidRDefault="00774540" w:rsidP="00774540">
      <w:pPr>
        <w:jc w:val="both"/>
        <w:rPr>
          <w:rFonts w:ascii="Times New Roman" w:hAnsi="Times New Roman" w:cs="Times New Roman"/>
          <w:sz w:val="24"/>
          <w:szCs w:val="24"/>
        </w:rPr>
      </w:pPr>
      <w:r w:rsidRPr="00774540">
        <w:rPr>
          <w:rFonts w:ascii="Times New Roman" w:hAnsi="Times New Roman" w:cs="Times New Roman"/>
          <w:sz w:val="24"/>
          <w:szCs w:val="24"/>
        </w:rPr>
        <w:t>Vastus: Detailplaneeringu kohustus tähendab, et kinnisasjal uute hoonete ehitamiseks, olemasolevate hoonete  üle 33% ulatuses laiendamiseks ning maa-alade kruntideks jaotamiseks tuleb koostada detailplaneering. Detailplaneering on seadusest tulenevalt kohustuslik linnades ja alevites ning alevike ja külade olemasolevatel ja kavandatavatel selgelt piiritletavatel kompaktse asustusega territooriumi osadel. Väljaspool linnade ja alevite territooriumi määratakse detailplaneeringu kohustusega alad kindlaks üldplaneeringuga.</w:t>
      </w:r>
    </w:p>
    <w:p w:rsidR="00774540" w:rsidRPr="00774540" w:rsidRDefault="00774540" w:rsidP="00774540">
      <w:pPr>
        <w:jc w:val="both"/>
        <w:rPr>
          <w:rFonts w:ascii="Times New Roman" w:hAnsi="Times New Roman" w:cs="Times New Roman"/>
          <w:sz w:val="24"/>
          <w:szCs w:val="24"/>
        </w:rPr>
      </w:pPr>
      <w:r w:rsidRPr="00774540">
        <w:rPr>
          <w:rFonts w:ascii="Times New Roman" w:hAnsi="Times New Roman" w:cs="Times New Roman"/>
          <w:sz w:val="24"/>
          <w:szCs w:val="24"/>
        </w:rPr>
        <w:t>5. Kes võib nõuda kinnistusraamatu ebaõige kande parandamist ja kuidas toimub sellisel juhul kinnistusraamatu kande muutmine?</w:t>
      </w:r>
    </w:p>
    <w:p w:rsidR="00774540" w:rsidRDefault="00774540" w:rsidP="00774540">
      <w:pPr>
        <w:jc w:val="both"/>
        <w:rPr>
          <w:rFonts w:ascii="Times New Roman" w:hAnsi="Times New Roman" w:cs="Times New Roman"/>
          <w:sz w:val="24"/>
          <w:szCs w:val="24"/>
        </w:rPr>
      </w:pPr>
      <w:r w:rsidRPr="00774540">
        <w:rPr>
          <w:rFonts w:ascii="Times New Roman" w:hAnsi="Times New Roman" w:cs="Times New Roman"/>
          <w:sz w:val="24"/>
          <w:szCs w:val="24"/>
        </w:rPr>
        <w:t>Vastus: Kinnistusraamatu kande parandamist võib nõuda isik, kelle õigusi on ebaõige kandega rikutud, näiteks ei ole tema õigust kinnistusraamatusse kantud või on kantud ebaõigesti või on kahjustatud mõne olematu koormatise või kitsenduse sissekandmise läbi. Kande muutmiseks on vajalik selle isiku nõusolek, kelle õigusi parandamine puudutab. Nõusoleku mitteandmise korral tuleb esitada hagi kinnistusraamatu kande parandamiseks.</w:t>
      </w:r>
    </w:p>
    <w:p w:rsidR="00AD68AE" w:rsidRPr="0027388E" w:rsidRDefault="00AD68AE" w:rsidP="00AD68AE">
      <w:pPr>
        <w:pStyle w:val="ListParagraph"/>
        <w:spacing w:after="240" w:line="230" w:lineRule="atLeast"/>
        <w:ind w:left="0"/>
        <w:jc w:val="both"/>
        <w:rPr>
          <w:rFonts w:ascii="Times New Roman" w:hAnsi="Times New Roman"/>
          <w:sz w:val="24"/>
          <w:szCs w:val="24"/>
        </w:rPr>
      </w:pPr>
      <w:r>
        <w:rPr>
          <w:rFonts w:ascii="Times New Roman" w:hAnsi="Times New Roman"/>
          <w:sz w:val="24"/>
          <w:szCs w:val="24"/>
        </w:rPr>
        <w:t xml:space="preserve">6. </w:t>
      </w:r>
      <w:r w:rsidRPr="00A54B9E">
        <w:rPr>
          <w:rFonts w:ascii="Times New Roman" w:hAnsi="Times New Roman"/>
          <w:sz w:val="24"/>
          <w:szCs w:val="24"/>
        </w:rPr>
        <w:t>Missugustest etappidest koosneb hindamine võrdlusmeetodil. Küsimus pu</w:t>
      </w:r>
      <w:r>
        <w:rPr>
          <w:rFonts w:ascii="Times New Roman" w:hAnsi="Times New Roman"/>
          <w:sz w:val="24"/>
          <w:szCs w:val="24"/>
        </w:rPr>
        <w:t>udutab võrdlusmeetodi etappe</w:t>
      </w:r>
      <w:r w:rsidRPr="00A54B9E">
        <w:rPr>
          <w:rFonts w:ascii="Times New Roman" w:hAnsi="Times New Roman"/>
          <w:sz w:val="24"/>
          <w:szCs w:val="24"/>
        </w:rPr>
        <w:t>, st küsitud  ei ole hindamistoimingu läbiviimist tervikuna.</w:t>
      </w:r>
    </w:p>
    <w:p w:rsidR="00AD68AE" w:rsidRPr="00A54B9E" w:rsidRDefault="00AD68AE" w:rsidP="00AD68AE">
      <w:pPr>
        <w:spacing w:after="0"/>
        <w:rPr>
          <w:rFonts w:ascii="Times New Roman" w:hAnsi="Times New Roman" w:cs="Times New Roman"/>
          <w:sz w:val="24"/>
          <w:szCs w:val="24"/>
        </w:rPr>
      </w:pPr>
      <w:r w:rsidRPr="00A54B9E">
        <w:rPr>
          <w:rFonts w:ascii="Times New Roman" w:hAnsi="Times New Roman" w:cs="Times New Roman"/>
          <w:b/>
          <w:sz w:val="24"/>
          <w:szCs w:val="24"/>
        </w:rPr>
        <w:t>Vastus:</w:t>
      </w:r>
      <w:r w:rsidRPr="00A54B9E">
        <w:rPr>
          <w:rFonts w:ascii="Times New Roman" w:hAnsi="Times New Roman" w:cs="Times New Roman"/>
          <w:sz w:val="24"/>
          <w:szCs w:val="24"/>
        </w:rPr>
        <w:t xml:space="preserve"> Hindamine võrdlusmeetodil koosneb järgmistest etappidest:</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napToGrid w:val="0"/>
          <w:sz w:val="24"/>
          <w:szCs w:val="24"/>
        </w:rPr>
        <w:t xml:space="preserve">turuanalüüs, </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z w:val="24"/>
          <w:szCs w:val="24"/>
        </w:rPr>
        <w:lastRenderedPageBreak/>
        <w:t>võrdlustehingute valik,</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napToGrid w:val="0"/>
          <w:sz w:val="24"/>
          <w:szCs w:val="24"/>
        </w:rPr>
        <w:t>võrdlusühiku valik,</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napToGrid w:val="0"/>
          <w:sz w:val="24"/>
          <w:szCs w:val="24"/>
        </w:rPr>
        <w:t>võrdluselementide valik,</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napToGrid w:val="0"/>
          <w:sz w:val="24"/>
          <w:szCs w:val="24"/>
        </w:rPr>
        <w:t>kohandamine,</w:t>
      </w:r>
    </w:p>
    <w:p w:rsidR="00AD68AE" w:rsidRPr="00A54B9E" w:rsidRDefault="00AD68AE" w:rsidP="00AD68AE">
      <w:pPr>
        <w:pStyle w:val="ListBullet2"/>
        <w:rPr>
          <w:rFonts w:ascii="Times New Roman" w:hAnsi="Times New Roman" w:cs="Times New Roman"/>
          <w:sz w:val="24"/>
          <w:szCs w:val="24"/>
        </w:rPr>
      </w:pPr>
      <w:r w:rsidRPr="00A54B9E">
        <w:rPr>
          <w:rFonts w:ascii="Times New Roman" w:hAnsi="Times New Roman" w:cs="Times New Roman"/>
          <w:snapToGrid w:val="0"/>
          <w:sz w:val="24"/>
          <w:szCs w:val="24"/>
        </w:rPr>
        <w:t>hindamistulemuse leidmine.</w:t>
      </w:r>
    </w:p>
    <w:p w:rsidR="00AD68AE" w:rsidRPr="00A54B9E" w:rsidRDefault="00AD68AE" w:rsidP="00AD68AE">
      <w:pPr>
        <w:rPr>
          <w:rFonts w:ascii="Times New Roman" w:hAnsi="Times New Roman" w:cs="Times New Roman"/>
          <w:sz w:val="24"/>
          <w:szCs w:val="24"/>
        </w:rPr>
      </w:pPr>
      <w:r w:rsidRPr="00A54B9E">
        <w:rPr>
          <w:rFonts w:ascii="Times New Roman" w:hAnsi="Times New Roman" w:cs="Times New Roman"/>
          <w:sz w:val="24"/>
          <w:szCs w:val="24"/>
        </w:rPr>
        <w:t>Tegemist on võrdlusmeetodi etappidega, st käsitletud ei ole hindamistoimingu läbiviimist tervikuna.</w:t>
      </w:r>
    </w:p>
    <w:p w:rsidR="00AD68AE" w:rsidRPr="005F54F8" w:rsidRDefault="00AD68AE" w:rsidP="00AD68AE">
      <w:pPr>
        <w:rPr>
          <w:rFonts w:ascii="Times New Roman" w:hAnsi="Times New Roman" w:cs="Times New Roman"/>
          <w:sz w:val="24"/>
          <w:szCs w:val="24"/>
        </w:rPr>
      </w:pPr>
      <w:r>
        <w:rPr>
          <w:rFonts w:ascii="Times New Roman" w:hAnsi="Times New Roman" w:cs="Times New Roman"/>
          <w:sz w:val="24"/>
          <w:szCs w:val="24"/>
        </w:rPr>
        <w:t xml:space="preserve">7. </w:t>
      </w:r>
      <w:r w:rsidRPr="005F54F8">
        <w:rPr>
          <w:rFonts w:ascii="Times New Roman" w:hAnsi="Times New Roman" w:cs="Times New Roman"/>
          <w:sz w:val="24"/>
          <w:szCs w:val="24"/>
        </w:rPr>
        <w:t>Mis on parendus? Tooge 5 näidet parenduste kohta.</w:t>
      </w:r>
    </w:p>
    <w:p w:rsidR="00AD68AE" w:rsidRPr="00A54B9E" w:rsidRDefault="00AD68AE" w:rsidP="00AD68AE">
      <w:pPr>
        <w:spacing w:after="0"/>
        <w:rPr>
          <w:rFonts w:ascii="Times New Roman" w:hAnsi="Times New Roman" w:cs="Times New Roman"/>
          <w:sz w:val="24"/>
          <w:szCs w:val="24"/>
        </w:rPr>
      </w:pPr>
      <w:r w:rsidRPr="00A54B9E">
        <w:rPr>
          <w:rFonts w:ascii="Times New Roman" w:hAnsi="Times New Roman" w:cs="Times New Roman"/>
          <w:b/>
          <w:sz w:val="24"/>
          <w:szCs w:val="24"/>
        </w:rPr>
        <w:t>Vastus:</w:t>
      </w:r>
      <w:r w:rsidRPr="00A54B9E">
        <w:rPr>
          <w:rFonts w:ascii="Times New Roman" w:hAnsi="Times New Roman" w:cs="Times New Roman"/>
          <w:sz w:val="24"/>
          <w:szCs w:val="24"/>
        </w:rPr>
        <w:t xml:space="preserve"> Parendused on inimtegevuse tulemusel tekkinud materiaalsed varad - kinnisvarale tehtud muudatused, täiendused ja parandused, mis </w:t>
      </w:r>
      <w:r w:rsidRPr="00A54B9E">
        <w:rPr>
          <w:rFonts w:ascii="Times New Roman" w:hAnsi="Times New Roman" w:cs="Times New Roman"/>
          <w:sz w:val="24"/>
          <w:szCs w:val="24"/>
          <w:u w:val="single"/>
        </w:rPr>
        <w:t>avaldavad</w:t>
      </w:r>
      <w:r w:rsidRPr="00A54B9E">
        <w:rPr>
          <w:rFonts w:ascii="Times New Roman" w:hAnsi="Times New Roman" w:cs="Times New Roman"/>
          <w:sz w:val="24"/>
          <w:szCs w:val="24"/>
        </w:rPr>
        <w:t xml:space="preserve"> (eeldatavalt positiivset) </w:t>
      </w:r>
      <w:r w:rsidRPr="00A54B9E">
        <w:rPr>
          <w:rFonts w:ascii="Times New Roman" w:hAnsi="Times New Roman" w:cs="Times New Roman"/>
          <w:sz w:val="24"/>
          <w:szCs w:val="24"/>
          <w:u w:val="single"/>
        </w:rPr>
        <w:t>mõju vara väärtusele</w:t>
      </w:r>
      <w:r w:rsidRPr="00A54B9E">
        <w:rPr>
          <w:rFonts w:ascii="Times New Roman" w:hAnsi="Times New Roman" w:cs="Times New Roman"/>
          <w:sz w:val="24"/>
          <w:szCs w:val="24"/>
        </w:rPr>
        <w:t xml:space="preserve">. </w:t>
      </w:r>
    </w:p>
    <w:p w:rsidR="00AD68AE" w:rsidRPr="00A54B9E" w:rsidRDefault="00AD68AE" w:rsidP="00AD68AE">
      <w:pPr>
        <w:spacing w:after="0"/>
        <w:rPr>
          <w:rFonts w:ascii="Times New Roman" w:hAnsi="Times New Roman" w:cs="Times New Roman"/>
          <w:sz w:val="24"/>
          <w:szCs w:val="24"/>
        </w:rPr>
      </w:pPr>
      <w:r w:rsidRPr="00A54B9E">
        <w:rPr>
          <w:rFonts w:ascii="Times New Roman" w:hAnsi="Times New Roman" w:cs="Times New Roman"/>
          <w:sz w:val="24"/>
          <w:szCs w:val="24"/>
        </w:rPr>
        <w:t xml:space="preserve">Parenduste hulka kuuluvad näiteks ehitised (nii hooned kui rajatised, sh tehnovõrgud ja -rajatised) ja osa bioloogilisi varasid, näiteks inimese poolt rajatud mets, istandused. </w:t>
      </w:r>
    </w:p>
    <w:p w:rsidR="00AD68AE" w:rsidRDefault="00AD68AE" w:rsidP="00AD68AE">
      <w:pPr>
        <w:spacing w:after="0"/>
        <w:rPr>
          <w:rFonts w:ascii="Times New Roman" w:hAnsi="Times New Roman" w:cs="Times New Roman"/>
          <w:sz w:val="24"/>
          <w:szCs w:val="24"/>
        </w:rPr>
      </w:pPr>
      <w:r w:rsidRPr="00A54B9E">
        <w:rPr>
          <w:rFonts w:ascii="Times New Roman" w:hAnsi="Times New Roman" w:cs="Times New Roman"/>
          <w:sz w:val="24"/>
          <w:szCs w:val="24"/>
        </w:rPr>
        <w:t>Parendus on ka maa korralduslike meetmetega (detailplaneeringutega, üldplaneeringutega, kasutuspiirangute tühistamisega jne) muutmine.</w:t>
      </w:r>
    </w:p>
    <w:p w:rsidR="00AD68AE" w:rsidRDefault="00AD68AE" w:rsidP="00774540">
      <w:pPr>
        <w:jc w:val="both"/>
        <w:rPr>
          <w:rFonts w:ascii="Times New Roman" w:hAnsi="Times New Roman" w:cs="Times New Roman"/>
          <w:sz w:val="24"/>
          <w:szCs w:val="24"/>
        </w:rPr>
      </w:pPr>
    </w:p>
    <w:p w:rsidR="00AD68AE" w:rsidRPr="00767959" w:rsidRDefault="00AD68AE" w:rsidP="00AD68AE">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767959">
        <w:rPr>
          <w:rFonts w:ascii="Times New Roman" w:hAnsi="Times New Roman" w:cs="Times New Roman"/>
          <w:sz w:val="24"/>
          <w:szCs w:val="24"/>
        </w:rPr>
        <w:t>Mis on funktsionaalne iganemine ja kuidas seda liigitatakse?</w:t>
      </w:r>
    </w:p>
    <w:p w:rsidR="00AD68AE" w:rsidRPr="00767959" w:rsidRDefault="00AD68AE" w:rsidP="00AD68AE">
      <w:pPr>
        <w:pStyle w:val="CommentText"/>
        <w:jc w:val="both"/>
        <w:rPr>
          <w:i/>
          <w:sz w:val="24"/>
          <w:szCs w:val="24"/>
          <w:lang w:val="et-EE"/>
        </w:rPr>
      </w:pPr>
      <w:r>
        <w:rPr>
          <w:b/>
          <w:sz w:val="24"/>
          <w:szCs w:val="24"/>
          <w:lang w:val="et-EE"/>
        </w:rPr>
        <w:t xml:space="preserve">Vastus: </w:t>
      </w:r>
      <w:r w:rsidRPr="00EE259C">
        <w:rPr>
          <w:sz w:val="24"/>
          <w:szCs w:val="24"/>
          <w:lang w:val="et-EE"/>
        </w:rPr>
        <w:t>Funktsionaalne iganemine</w:t>
      </w:r>
      <w:r w:rsidRPr="00767959">
        <w:rPr>
          <w:sz w:val="24"/>
          <w:szCs w:val="24"/>
          <w:lang w:val="et-EE"/>
        </w:rPr>
        <w:t xml:space="preserve"> on põhjustatud ehitiste, kasutatavate materjalide või projekti puudustest ja ebatäiuslikkusest kaasajal. </w:t>
      </w:r>
      <w:proofErr w:type="spellStart"/>
      <w:r w:rsidRPr="00767959">
        <w:rPr>
          <w:sz w:val="24"/>
          <w:szCs w:val="24"/>
          <w:lang w:val="fi-FI"/>
        </w:rPr>
        <w:t>Sellest</w:t>
      </w:r>
      <w:proofErr w:type="spellEnd"/>
      <w:r w:rsidRPr="00767959">
        <w:rPr>
          <w:sz w:val="24"/>
          <w:szCs w:val="24"/>
          <w:lang w:val="fi-FI"/>
        </w:rPr>
        <w:t xml:space="preserve"> </w:t>
      </w:r>
      <w:proofErr w:type="spellStart"/>
      <w:r w:rsidRPr="00767959">
        <w:rPr>
          <w:sz w:val="24"/>
          <w:szCs w:val="24"/>
          <w:lang w:val="fi-FI"/>
        </w:rPr>
        <w:t>tulenevalt</w:t>
      </w:r>
      <w:proofErr w:type="spellEnd"/>
      <w:r w:rsidRPr="00767959">
        <w:rPr>
          <w:sz w:val="24"/>
          <w:szCs w:val="24"/>
          <w:lang w:val="fi-FI"/>
        </w:rPr>
        <w:t xml:space="preserve"> </w:t>
      </w:r>
      <w:proofErr w:type="spellStart"/>
      <w:r w:rsidRPr="00767959">
        <w:rPr>
          <w:sz w:val="24"/>
          <w:szCs w:val="24"/>
          <w:lang w:val="fi-FI"/>
        </w:rPr>
        <w:t>võib</w:t>
      </w:r>
      <w:proofErr w:type="spellEnd"/>
      <w:r w:rsidRPr="00767959">
        <w:rPr>
          <w:sz w:val="24"/>
          <w:szCs w:val="24"/>
          <w:lang w:val="fi-FI"/>
        </w:rPr>
        <w:t xml:space="preserve"> vara </w:t>
      </w:r>
      <w:proofErr w:type="spellStart"/>
      <w:r w:rsidRPr="00767959">
        <w:rPr>
          <w:sz w:val="24"/>
          <w:szCs w:val="24"/>
          <w:lang w:val="fi-FI"/>
        </w:rPr>
        <w:t>muutuda</w:t>
      </w:r>
      <w:proofErr w:type="spellEnd"/>
      <w:r w:rsidRPr="00767959">
        <w:rPr>
          <w:sz w:val="24"/>
          <w:szCs w:val="24"/>
          <w:lang w:val="fi-FI"/>
        </w:rPr>
        <w:t xml:space="preserve"> </w:t>
      </w:r>
      <w:proofErr w:type="spellStart"/>
      <w:r w:rsidRPr="00767959">
        <w:rPr>
          <w:sz w:val="24"/>
          <w:szCs w:val="24"/>
          <w:lang w:val="fi-FI"/>
        </w:rPr>
        <w:t>osaliselt</w:t>
      </w:r>
      <w:proofErr w:type="spellEnd"/>
      <w:r w:rsidRPr="00767959">
        <w:rPr>
          <w:sz w:val="24"/>
          <w:szCs w:val="24"/>
          <w:lang w:val="fi-FI"/>
        </w:rPr>
        <w:t xml:space="preserve"> </w:t>
      </w:r>
      <w:proofErr w:type="spellStart"/>
      <w:r w:rsidRPr="00767959">
        <w:rPr>
          <w:sz w:val="24"/>
          <w:szCs w:val="24"/>
          <w:lang w:val="fi-FI"/>
        </w:rPr>
        <w:t>või</w:t>
      </w:r>
      <w:proofErr w:type="spellEnd"/>
      <w:r w:rsidRPr="00767959">
        <w:rPr>
          <w:sz w:val="24"/>
          <w:szCs w:val="24"/>
          <w:lang w:val="fi-FI"/>
        </w:rPr>
        <w:t xml:space="preserve"> </w:t>
      </w:r>
      <w:proofErr w:type="spellStart"/>
      <w:r w:rsidRPr="00767959">
        <w:rPr>
          <w:sz w:val="24"/>
          <w:szCs w:val="24"/>
          <w:lang w:val="fi-FI"/>
        </w:rPr>
        <w:t>täielikult</w:t>
      </w:r>
      <w:proofErr w:type="spellEnd"/>
      <w:r w:rsidRPr="00767959">
        <w:rPr>
          <w:sz w:val="24"/>
          <w:szCs w:val="24"/>
          <w:lang w:val="fi-FI"/>
        </w:rPr>
        <w:t xml:space="preserve"> </w:t>
      </w:r>
      <w:proofErr w:type="spellStart"/>
      <w:r w:rsidRPr="00767959">
        <w:rPr>
          <w:sz w:val="24"/>
          <w:szCs w:val="24"/>
          <w:lang w:val="fi-FI"/>
        </w:rPr>
        <w:t>väärtusetuks</w:t>
      </w:r>
      <w:proofErr w:type="spellEnd"/>
      <w:r w:rsidRPr="00767959">
        <w:rPr>
          <w:sz w:val="24"/>
          <w:szCs w:val="24"/>
          <w:lang w:val="fi-FI"/>
        </w:rPr>
        <w:t xml:space="preserve"> </w:t>
      </w:r>
      <w:proofErr w:type="spellStart"/>
      <w:r w:rsidRPr="00767959">
        <w:rPr>
          <w:sz w:val="24"/>
          <w:szCs w:val="24"/>
          <w:lang w:val="fi-FI"/>
        </w:rPr>
        <w:t>või</w:t>
      </w:r>
      <w:proofErr w:type="spellEnd"/>
      <w:r w:rsidRPr="00767959">
        <w:rPr>
          <w:sz w:val="24"/>
          <w:szCs w:val="24"/>
          <w:lang w:val="fi-FI"/>
        </w:rPr>
        <w:t xml:space="preserve"> </w:t>
      </w:r>
      <w:proofErr w:type="spellStart"/>
      <w:r w:rsidRPr="00767959">
        <w:rPr>
          <w:sz w:val="24"/>
          <w:szCs w:val="24"/>
          <w:lang w:val="fi-FI"/>
        </w:rPr>
        <w:t>selle</w:t>
      </w:r>
      <w:proofErr w:type="spellEnd"/>
      <w:r w:rsidRPr="00767959">
        <w:rPr>
          <w:sz w:val="24"/>
          <w:szCs w:val="24"/>
          <w:lang w:val="fi-FI"/>
        </w:rPr>
        <w:t xml:space="preserve"> </w:t>
      </w:r>
      <w:proofErr w:type="spellStart"/>
      <w:r w:rsidRPr="00767959">
        <w:rPr>
          <w:sz w:val="24"/>
          <w:szCs w:val="24"/>
          <w:lang w:val="fi-FI"/>
        </w:rPr>
        <w:t>kasutamine</w:t>
      </w:r>
      <w:proofErr w:type="spellEnd"/>
      <w:r w:rsidRPr="00767959">
        <w:rPr>
          <w:sz w:val="24"/>
          <w:szCs w:val="24"/>
          <w:lang w:val="fi-FI"/>
        </w:rPr>
        <w:t xml:space="preserve"> </w:t>
      </w:r>
      <w:proofErr w:type="spellStart"/>
      <w:r w:rsidRPr="00767959">
        <w:rPr>
          <w:sz w:val="24"/>
          <w:szCs w:val="24"/>
          <w:lang w:val="fi-FI"/>
        </w:rPr>
        <w:t>ebaefektiivseks</w:t>
      </w:r>
      <w:proofErr w:type="spellEnd"/>
      <w:r w:rsidRPr="00767959">
        <w:rPr>
          <w:sz w:val="24"/>
          <w:szCs w:val="24"/>
          <w:lang w:val="fi-FI"/>
        </w:rPr>
        <w:t xml:space="preserve"> </w:t>
      </w:r>
    </w:p>
    <w:p w:rsidR="00AD68AE" w:rsidRPr="00767959" w:rsidRDefault="00AD68AE" w:rsidP="00AD68AE">
      <w:pPr>
        <w:spacing w:after="0"/>
        <w:rPr>
          <w:rFonts w:ascii="Times New Roman" w:hAnsi="Times New Roman" w:cs="Times New Roman"/>
          <w:sz w:val="24"/>
          <w:szCs w:val="24"/>
        </w:rPr>
      </w:pPr>
      <w:r w:rsidRPr="00767959">
        <w:rPr>
          <w:rFonts w:ascii="Times New Roman" w:hAnsi="Times New Roman" w:cs="Times New Roman"/>
          <w:sz w:val="24"/>
          <w:szCs w:val="24"/>
        </w:rPr>
        <w:t>Funktsionaalne iganemine on taastatav, kui kulud selle kõrvaldamiseks või taastamiseks on väiksemad või võrdsed väärtusega, mis lisandub vara väärtusele tervikuna.</w:t>
      </w:r>
    </w:p>
    <w:p w:rsidR="00AD68AE" w:rsidRDefault="00AD68AE" w:rsidP="00AD68AE">
      <w:pPr>
        <w:spacing w:after="0"/>
        <w:jc w:val="both"/>
        <w:rPr>
          <w:rFonts w:ascii="Times New Roman" w:hAnsi="Times New Roman" w:cs="Times New Roman"/>
          <w:sz w:val="24"/>
          <w:szCs w:val="24"/>
        </w:rPr>
      </w:pPr>
      <w:r w:rsidRPr="00767959">
        <w:rPr>
          <w:rFonts w:ascii="Times New Roman" w:hAnsi="Times New Roman" w:cs="Times New Roman"/>
          <w:sz w:val="24"/>
          <w:szCs w:val="24"/>
        </w:rPr>
        <w:t>Funktsionaalne iganemine</w:t>
      </w:r>
      <w:r w:rsidRPr="00767959">
        <w:rPr>
          <w:rFonts w:ascii="Times New Roman" w:hAnsi="Times New Roman" w:cs="Times New Roman"/>
          <w:b/>
          <w:sz w:val="24"/>
          <w:szCs w:val="24"/>
        </w:rPr>
        <w:t xml:space="preserve"> </w:t>
      </w:r>
      <w:r w:rsidRPr="00767959">
        <w:rPr>
          <w:rFonts w:ascii="Times New Roman" w:hAnsi="Times New Roman" w:cs="Times New Roman"/>
          <w:sz w:val="24"/>
          <w:szCs w:val="24"/>
        </w:rPr>
        <w:t xml:space="preserve">on mittetaastatav, kui kulutused tema likvideerimiseks on suuremad kui varale lisanduv väärtus. </w:t>
      </w:r>
    </w:p>
    <w:p w:rsidR="00EE259C" w:rsidRDefault="00EE259C" w:rsidP="00AD68AE">
      <w:pPr>
        <w:spacing w:after="0"/>
        <w:jc w:val="both"/>
        <w:rPr>
          <w:rFonts w:ascii="Times New Roman" w:hAnsi="Times New Roman" w:cs="Times New Roman"/>
          <w:sz w:val="24"/>
          <w:szCs w:val="24"/>
        </w:rPr>
      </w:pPr>
    </w:p>
    <w:p w:rsidR="00EE259C" w:rsidRPr="00EE259C" w:rsidRDefault="00EE259C" w:rsidP="00EE259C">
      <w:pPr>
        <w:spacing w:after="120"/>
        <w:rPr>
          <w:rFonts w:ascii="Times New Roman" w:hAnsi="Times New Roman" w:cs="Times New Roman"/>
          <w:sz w:val="24"/>
          <w:szCs w:val="24"/>
        </w:rPr>
      </w:pPr>
      <w:r w:rsidRPr="00EE259C">
        <w:rPr>
          <w:rFonts w:ascii="Times New Roman" w:hAnsi="Times New Roman" w:cs="Times New Roman"/>
          <w:sz w:val="24"/>
          <w:szCs w:val="24"/>
        </w:rPr>
        <w:t>9. Palun selgitage, kuidas ja milliste näitajatega on võimalik mõõta inflatsiooni? Tooge näiteid.</w:t>
      </w:r>
    </w:p>
    <w:p w:rsidR="003F7710" w:rsidRPr="00DD49C3" w:rsidRDefault="003F7710" w:rsidP="003F7710">
      <w:pPr>
        <w:autoSpaceDE w:val="0"/>
        <w:autoSpaceDN w:val="0"/>
        <w:adjustRightInd w:val="0"/>
        <w:spacing w:after="0"/>
        <w:jc w:val="both"/>
        <w:rPr>
          <w:rFonts w:cstheme="minorHAnsi"/>
        </w:rPr>
      </w:pPr>
      <w:r w:rsidRPr="00DD49C3">
        <w:rPr>
          <w:rFonts w:cstheme="minorHAnsi"/>
          <w:b/>
        </w:rPr>
        <w:t>Vastus:</w:t>
      </w:r>
      <w:r w:rsidRPr="00DD49C3">
        <w:rPr>
          <w:rFonts w:cstheme="minorHAnsi"/>
        </w:rPr>
        <w:t xml:space="preserve"> Lisaks üldise hinnataseme muutusele võib inflatsiooni mõõta ka tarbijahinnaindeksiga. Tar</w:t>
      </w:r>
      <w:r>
        <w:rPr>
          <w:rFonts w:cstheme="minorHAnsi"/>
        </w:rPr>
        <w:softHyphen/>
      </w:r>
      <w:r w:rsidRPr="00DD49C3">
        <w:rPr>
          <w:rFonts w:cstheme="minorHAnsi"/>
        </w:rPr>
        <w:t>bi</w:t>
      </w:r>
      <w:r>
        <w:rPr>
          <w:rFonts w:cstheme="minorHAnsi"/>
        </w:rPr>
        <w:softHyphen/>
      </w:r>
      <w:r w:rsidRPr="00DD49C3">
        <w:rPr>
          <w:rFonts w:cstheme="minorHAnsi"/>
        </w:rPr>
        <w:t>ja</w:t>
      </w:r>
      <w:r>
        <w:rPr>
          <w:rFonts w:cstheme="minorHAnsi"/>
        </w:rPr>
        <w:softHyphen/>
      </w:r>
      <w:r w:rsidRPr="00DD49C3">
        <w:rPr>
          <w:rFonts w:cstheme="minorHAnsi"/>
        </w:rPr>
        <w:t>hinnaindeks näitab tüüpilise majapidamise kaupade ja teenuste ostukorvi keskmine hinna muutust. Li</w:t>
      </w:r>
      <w:r>
        <w:rPr>
          <w:rFonts w:cstheme="minorHAnsi"/>
        </w:rPr>
        <w:softHyphen/>
      </w:r>
      <w:r w:rsidRPr="00DD49C3">
        <w:rPr>
          <w:rFonts w:cstheme="minorHAnsi"/>
        </w:rPr>
        <w:t xml:space="preserve">saks eeltoodud näitajatele kasutatakse inflatsiooni mõõtmisel veel </w:t>
      </w:r>
      <w:r w:rsidRPr="00B95326">
        <w:rPr>
          <w:rFonts w:cstheme="minorHAnsi"/>
          <w:iCs/>
        </w:rPr>
        <w:t xml:space="preserve">tootjahinnaindeksit </w:t>
      </w:r>
      <w:r w:rsidRPr="00B95326">
        <w:rPr>
          <w:rFonts w:cstheme="minorHAnsi"/>
        </w:rPr>
        <w:t xml:space="preserve">ja </w:t>
      </w:r>
      <w:r w:rsidRPr="00B95326">
        <w:rPr>
          <w:rFonts w:cstheme="minorHAnsi"/>
          <w:iCs/>
        </w:rPr>
        <w:t>impor</w:t>
      </w:r>
      <w:r w:rsidRPr="00B95326">
        <w:rPr>
          <w:rFonts w:cstheme="minorHAnsi"/>
          <w:iCs/>
        </w:rPr>
        <w:softHyphen/>
        <w:t>di</w:t>
      </w:r>
      <w:r w:rsidRPr="00B95326">
        <w:rPr>
          <w:rFonts w:cstheme="minorHAnsi"/>
          <w:iCs/>
        </w:rPr>
        <w:softHyphen/>
        <w:t>hin</w:t>
      </w:r>
      <w:r w:rsidRPr="00B95326">
        <w:rPr>
          <w:rFonts w:cstheme="minorHAnsi"/>
          <w:iCs/>
        </w:rPr>
        <w:softHyphen/>
        <w:t>naindeksit</w:t>
      </w:r>
      <w:r w:rsidRPr="00DD49C3">
        <w:rPr>
          <w:rFonts w:cstheme="minorHAnsi"/>
        </w:rPr>
        <w:t>, mis näitavad vastavalt ettevõte</w:t>
      </w:r>
      <w:r>
        <w:rPr>
          <w:rFonts w:cstheme="minorHAnsi"/>
        </w:rPr>
        <w:softHyphen/>
      </w:r>
      <w:r w:rsidRPr="00DD49C3">
        <w:rPr>
          <w:rFonts w:cstheme="minorHAnsi"/>
        </w:rPr>
        <w:t>te väljastamishindade (hulgihindade) või oluli</w:t>
      </w:r>
      <w:r>
        <w:rPr>
          <w:rFonts w:cstheme="minorHAnsi"/>
        </w:rPr>
        <w:softHyphen/>
      </w:r>
      <w:r w:rsidRPr="00DD49C3">
        <w:rPr>
          <w:rFonts w:cstheme="minorHAnsi"/>
        </w:rPr>
        <w:t>se</w:t>
      </w:r>
      <w:r>
        <w:rPr>
          <w:rFonts w:cstheme="minorHAnsi"/>
        </w:rPr>
        <w:softHyphen/>
      </w:r>
      <w:r w:rsidRPr="00DD49C3">
        <w:rPr>
          <w:rFonts w:cstheme="minorHAnsi"/>
        </w:rPr>
        <w:t>mate importkaubaartiklite hinnamuutusi.</w:t>
      </w:r>
      <w:r>
        <w:rPr>
          <w:rFonts w:cstheme="minorHAnsi"/>
        </w:rPr>
        <w:t xml:space="preserve"> </w:t>
      </w:r>
      <w:r w:rsidRPr="00DD49C3">
        <w:rPr>
          <w:rFonts w:cstheme="minorHAnsi"/>
        </w:rPr>
        <w:t>Tarbijahinnaindeks (THI) mõõ</w:t>
      </w:r>
      <w:r>
        <w:rPr>
          <w:rFonts w:cstheme="minorHAnsi"/>
        </w:rPr>
        <w:softHyphen/>
      </w:r>
      <w:r w:rsidRPr="00DD49C3">
        <w:rPr>
          <w:rFonts w:cstheme="minorHAnsi"/>
        </w:rPr>
        <w:t>dab kaubakorvi kuuluvate kaupade ja teenuste hindade muutumist mingis ajavahemikus:</w:t>
      </w:r>
    </w:p>
    <w:p w:rsidR="003F7710" w:rsidRPr="00DD49C3" w:rsidRDefault="003F7710" w:rsidP="003F7710">
      <w:pPr>
        <w:autoSpaceDE w:val="0"/>
        <w:autoSpaceDN w:val="0"/>
        <w:adjustRightInd w:val="0"/>
        <w:spacing w:after="0"/>
        <w:jc w:val="both"/>
        <w:rPr>
          <w:rFonts w:cstheme="minorHAnsi"/>
          <w:b/>
        </w:rPr>
      </w:pPr>
    </w:p>
    <w:p w:rsidR="003F7710" w:rsidRPr="00DD49C3" w:rsidRDefault="003F7710" w:rsidP="003F7710">
      <w:pPr>
        <w:autoSpaceDE w:val="0"/>
        <w:autoSpaceDN w:val="0"/>
        <w:adjustRightInd w:val="0"/>
        <w:spacing w:after="0"/>
        <w:ind w:firstLine="708"/>
        <w:jc w:val="both"/>
        <w:rPr>
          <w:rFonts w:cstheme="minorHAnsi"/>
          <w:b/>
        </w:rPr>
      </w:pPr>
      <w:r w:rsidRPr="00DD49C3">
        <w:rPr>
          <w:rFonts w:cstheme="minorHAnsi"/>
          <w:b/>
          <w:noProof/>
          <w:lang w:eastAsia="et-EE"/>
        </w:rPr>
        <w:drawing>
          <wp:inline distT="0" distB="0" distL="0" distR="0" wp14:anchorId="63000B3C" wp14:editId="13BBF210">
            <wp:extent cx="3467100" cy="412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67100" cy="412110"/>
                    </a:xfrm>
                    <a:prstGeom prst="rect">
                      <a:avLst/>
                    </a:prstGeom>
                    <a:noFill/>
                    <a:ln w="9525">
                      <a:noFill/>
                      <a:miter lim="800000"/>
                      <a:headEnd/>
                      <a:tailEnd/>
                    </a:ln>
                  </pic:spPr>
                </pic:pic>
              </a:graphicData>
            </a:graphic>
          </wp:inline>
        </w:drawing>
      </w:r>
    </w:p>
    <w:p w:rsidR="003F7710" w:rsidRPr="00DD49C3" w:rsidRDefault="003F7710" w:rsidP="003F7710">
      <w:pPr>
        <w:autoSpaceDE w:val="0"/>
        <w:autoSpaceDN w:val="0"/>
        <w:adjustRightInd w:val="0"/>
        <w:spacing w:before="120" w:after="0"/>
        <w:jc w:val="both"/>
        <w:rPr>
          <w:rFonts w:cstheme="minorHAnsi"/>
          <w:b/>
        </w:rPr>
      </w:pPr>
      <w:r w:rsidRPr="00DD49C3">
        <w:rPr>
          <w:rFonts w:cstheme="minorHAnsi"/>
        </w:rPr>
        <w:t>Kui me teame THI väärtusi aastate lõikes, siis saame aasta inflatsioonimäära leida valemiga:</w:t>
      </w:r>
    </w:p>
    <w:p w:rsidR="003F7710" w:rsidRPr="00DD49C3" w:rsidRDefault="003F7710" w:rsidP="003F7710">
      <w:pPr>
        <w:autoSpaceDE w:val="0"/>
        <w:autoSpaceDN w:val="0"/>
        <w:adjustRightInd w:val="0"/>
        <w:spacing w:after="0"/>
        <w:jc w:val="both"/>
        <w:rPr>
          <w:rFonts w:cstheme="minorHAnsi"/>
          <w:b/>
        </w:rPr>
      </w:pPr>
    </w:p>
    <w:p w:rsidR="003F7710" w:rsidRPr="00DD49C3" w:rsidRDefault="003F7710" w:rsidP="003F7710">
      <w:pPr>
        <w:autoSpaceDE w:val="0"/>
        <w:autoSpaceDN w:val="0"/>
        <w:adjustRightInd w:val="0"/>
        <w:spacing w:after="0"/>
        <w:ind w:firstLine="708"/>
        <w:jc w:val="both"/>
        <w:rPr>
          <w:rFonts w:cstheme="minorHAnsi"/>
          <w:b/>
        </w:rPr>
      </w:pPr>
      <w:r w:rsidRPr="00DD49C3">
        <w:rPr>
          <w:rFonts w:cstheme="minorHAnsi"/>
          <w:b/>
          <w:noProof/>
          <w:lang w:eastAsia="et-EE"/>
        </w:rPr>
        <w:drawing>
          <wp:inline distT="0" distB="0" distL="0" distR="0" wp14:anchorId="2C420D8E" wp14:editId="7D0ECDD5">
            <wp:extent cx="3990975" cy="38392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07745" cy="385533"/>
                    </a:xfrm>
                    <a:prstGeom prst="rect">
                      <a:avLst/>
                    </a:prstGeom>
                    <a:noFill/>
                    <a:ln w="9525">
                      <a:noFill/>
                      <a:miter lim="800000"/>
                      <a:headEnd/>
                      <a:tailEnd/>
                    </a:ln>
                  </pic:spPr>
                </pic:pic>
              </a:graphicData>
            </a:graphic>
          </wp:inline>
        </w:drawing>
      </w:r>
    </w:p>
    <w:p w:rsidR="003F7710" w:rsidRPr="00DD49C3" w:rsidRDefault="003F7710" w:rsidP="003F7710">
      <w:pPr>
        <w:autoSpaceDE w:val="0"/>
        <w:autoSpaceDN w:val="0"/>
        <w:adjustRightInd w:val="0"/>
        <w:spacing w:before="120" w:after="0"/>
        <w:jc w:val="both"/>
        <w:rPr>
          <w:rFonts w:cstheme="minorHAnsi"/>
          <w:b/>
        </w:rPr>
      </w:pPr>
      <w:r w:rsidRPr="00DD49C3">
        <w:rPr>
          <w:rFonts w:cstheme="minorHAnsi"/>
        </w:rPr>
        <w:t>Perioodi inflatsiooni arvutatakse järgmise valemiga:</w:t>
      </w:r>
    </w:p>
    <w:p w:rsidR="003F7710" w:rsidRPr="00DD49C3" w:rsidRDefault="003F7710" w:rsidP="003F7710">
      <w:pPr>
        <w:autoSpaceDE w:val="0"/>
        <w:autoSpaceDN w:val="0"/>
        <w:adjustRightInd w:val="0"/>
        <w:spacing w:before="120" w:after="0" w:line="240" w:lineRule="auto"/>
        <w:ind w:firstLine="709"/>
        <w:jc w:val="both"/>
        <w:rPr>
          <w:rFonts w:cstheme="minorHAnsi"/>
          <w:b/>
        </w:rPr>
      </w:pPr>
      <w:r w:rsidRPr="00DD49C3">
        <w:rPr>
          <w:rFonts w:cstheme="minorHAnsi"/>
          <w:b/>
          <w:noProof/>
          <w:lang w:eastAsia="et-EE"/>
        </w:rPr>
        <w:lastRenderedPageBreak/>
        <w:drawing>
          <wp:inline distT="0" distB="0" distL="0" distR="0" wp14:anchorId="3BFB6EFF" wp14:editId="37DE07FA">
            <wp:extent cx="3019425" cy="22160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19425" cy="221609"/>
                    </a:xfrm>
                    <a:prstGeom prst="rect">
                      <a:avLst/>
                    </a:prstGeom>
                    <a:noFill/>
                    <a:ln w="9525">
                      <a:noFill/>
                      <a:miter lim="800000"/>
                      <a:headEnd/>
                      <a:tailEnd/>
                    </a:ln>
                  </pic:spPr>
                </pic:pic>
              </a:graphicData>
            </a:graphic>
          </wp:inline>
        </w:drawing>
      </w:r>
    </w:p>
    <w:p w:rsidR="003F7710" w:rsidRDefault="003F7710" w:rsidP="003F7710">
      <w:pPr>
        <w:autoSpaceDE w:val="0"/>
        <w:autoSpaceDN w:val="0"/>
        <w:adjustRightInd w:val="0"/>
        <w:spacing w:before="120" w:after="0" w:line="240" w:lineRule="auto"/>
        <w:jc w:val="both"/>
        <w:rPr>
          <w:rFonts w:cstheme="minorHAnsi"/>
        </w:rPr>
      </w:pPr>
      <w:r w:rsidRPr="00DD49C3">
        <w:rPr>
          <w:rFonts w:cstheme="minorHAnsi"/>
        </w:rPr>
        <w:t>kus i näitab perioodi (näiteks kuu) inflatsioonimäära ja indeks 1…n vastavat kuud.</w:t>
      </w:r>
    </w:p>
    <w:p w:rsidR="00EE259C" w:rsidRPr="00EE259C" w:rsidRDefault="00EE259C" w:rsidP="00EE259C">
      <w:pPr>
        <w:autoSpaceDE w:val="0"/>
        <w:autoSpaceDN w:val="0"/>
        <w:adjustRightInd w:val="0"/>
        <w:spacing w:after="0" w:line="240" w:lineRule="auto"/>
        <w:jc w:val="both"/>
        <w:rPr>
          <w:rFonts w:ascii="Times New Roman" w:hAnsi="Times New Roman" w:cs="Times New Roman"/>
          <w:sz w:val="24"/>
          <w:szCs w:val="24"/>
        </w:rPr>
      </w:pPr>
    </w:p>
    <w:p w:rsidR="00EE259C" w:rsidRPr="00EE259C" w:rsidRDefault="00EE259C" w:rsidP="00EE25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sidRPr="00EE259C">
        <w:rPr>
          <w:rFonts w:ascii="Times New Roman" w:hAnsi="Times New Roman"/>
          <w:sz w:val="24"/>
          <w:szCs w:val="24"/>
        </w:rPr>
        <w:t>Nimetage palun vähemalt kolm investeeringu tasuvuse hindamise näitajat koos selgitusega ning võimalusel esitage nende valemid.</w:t>
      </w:r>
    </w:p>
    <w:p w:rsidR="00EE259C" w:rsidRPr="00EE259C" w:rsidRDefault="00EE259C" w:rsidP="00EE259C">
      <w:pPr>
        <w:autoSpaceDE w:val="0"/>
        <w:autoSpaceDN w:val="0"/>
        <w:adjustRightInd w:val="0"/>
        <w:spacing w:after="0" w:line="240" w:lineRule="auto"/>
        <w:jc w:val="both"/>
        <w:rPr>
          <w:rFonts w:ascii="Times New Roman" w:hAnsi="Times New Roman" w:cs="Times New Roman"/>
          <w:sz w:val="24"/>
          <w:szCs w:val="24"/>
        </w:rPr>
      </w:pPr>
    </w:p>
    <w:p w:rsidR="003F7710" w:rsidRDefault="003F7710" w:rsidP="003F7710">
      <w:pPr>
        <w:autoSpaceDE w:val="0"/>
        <w:autoSpaceDN w:val="0"/>
        <w:adjustRightInd w:val="0"/>
        <w:spacing w:after="0"/>
        <w:jc w:val="both"/>
        <w:rPr>
          <w:rFonts w:cstheme="minorHAnsi"/>
        </w:rPr>
      </w:pPr>
      <w:r>
        <w:rPr>
          <w:rFonts w:cstheme="minorHAnsi"/>
          <w:b/>
        </w:rPr>
        <w:t xml:space="preserve">Vastus: </w:t>
      </w:r>
      <w:r w:rsidRPr="00840741">
        <w:rPr>
          <w:rFonts w:cstheme="minorHAnsi"/>
        </w:rPr>
        <w:t>Näiteks võib välja tuua järgmised näitajad:</w:t>
      </w:r>
      <w:r>
        <w:rPr>
          <w:rFonts w:cstheme="minorHAnsi"/>
          <w:b/>
        </w:rPr>
        <w:t xml:space="preserve"> </w:t>
      </w:r>
      <w:r w:rsidRPr="004D33C5">
        <w:rPr>
          <w:rFonts w:cstheme="minorHAnsi"/>
        </w:rPr>
        <w:t>tasuvusaeg</w:t>
      </w:r>
      <w:r>
        <w:rPr>
          <w:rFonts w:cstheme="minorHAnsi"/>
        </w:rPr>
        <w:t>,</w:t>
      </w:r>
      <w:r w:rsidRPr="004D33C5">
        <w:rPr>
          <w:rFonts w:cstheme="minorHAnsi"/>
        </w:rPr>
        <w:t xml:space="preserve"> NPV, IRR.</w:t>
      </w:r>
    </w:p>
    <w:p w:rsidR="003F7710" w:rsidRPr="00B51FFA" w:rsidRDefault="003F7710" w:rsidP="003F7710">
      <w:pPr>
        <w:pStyle w:val="ListParagraph"/>
        <w:numPr>
          <w:ilvl w:val="0"/>
          <w:numId w:val="6"/>
        </w:numPr>
        <w:spacing w:before="60"/>
        <w:ind w:left="284" w:hanging="284"/>
        <w:rPr>
          <w:rFonts w:cstheme="minorHAnsi"/>
        </w:rPr>
      </w:pPr>
      <w:r w:rsidRPr="00B51FFA">
        <w:rPr>
          <w:rFonts w:cstheme="minorHAnsi"/>
        </w:rPr>
        <w:t>Tasuvusaeg on aastate arv, mis kulub esialgse investeeringu tasumiseks projektist tulenevate raha</w:t>
      </w:r>
      <w:r w:rsidRPr="00B51FFA">
        <w:rPr>
          <w:rFonts w:cstheme="minorHAnsi"/>
        </w:rPr>
        <w:softHyphen/>
        <w:t>voo</w:t>
      </w:r>
      <w:r w:rsidRPr="00B51FFA">
        <w:rPr>
          <w:rFonts w:cstheme="minorHAnsi"/>
        </w:rPr>
        <w:softHyphen/>
        <w:t>gu</w:t>
      </w:r>
      <w:r w:rsidRPr="00B51FFA">
        <w:rPr>
          <w:rFonts w:cstheme="minorHAnsi"/>
        </w:rPr>
        <w:softHyphen/>
        <w:t xml:space="preserve">dega ehk </w:t>
      </w:r>
      <w:proofErr w:type="spellStart"/>
      <w:r w:rsidRPr="00B51FFA">
        <w:rPr>
          <w:rFonts w:cstheme="minorHAnsi"/>
        </w:rPr>
        <w:t>teisiõnu</w:t>
      </w:r>
      <w:proofErr w:type="spellEnd"/>
      <w:r w:rsidRPr="00B51FFA">
        <w:rPr>
          <w:rFonts w:cstheme="minorHAnsi"/>
        </w:rPr>
        <w:t>, tasuvusaeg näitab seda ajavahemikku, millega investeerimisprojekt jõuab rahavoogude poo</w:t>
      </w:r>
      <w:r w:rsidRPr="00B51FFA">
        <w:rPr>
          <w:rFonts w:cstheme="minorHAnsi"/>
        </w:rPr>
        <w:softHyphen/>
        <w:t>lest tasuvuse null-punkti.</w:t>
      </w:r>
    </w:p>
    <w:p w:rsidR="003F7710" w:rsidRDefault="003F7710" w:rsidP="003F7710">
      <w:pPr>
        <w:pStyle w:val="lqiktavaline"/>
        <w:spacing w:line="276" w:lineRule="auto"/>
        <w:ind w:firstLine="708"/>
      </w:pPr>
      <w:r w:rsidRPr="00BC2B2E">
        <w:rPr>
          <w:position w:val="-30"/>
        </w:rPr>
        <w:object w:dxaOrig="58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37.5pt" o:ole="">
            <v:imagedata r:id="rId11" o:title=""/>
          </v:shape>
          <o:OLEObject Type="Embed" ProgID="Equation.3" ShapeID="_x0000_i1025" DrawAspect="Content" ObjectID="_1352108162" r:id="rId12"/>
        </w:object>
      </w:r>
      <w:r>
        <w:t xml:space="preserve">, </w:t>
      </w:r>
    </w:p>
    <w:p w:rsidR="003F7710" w:rsidRPr="00B51FFA" w:rsidRDefault="003F7710" w:rsidP="003F7710">
      <w:pPr>
        <w:pStyle w:val="lqiktavaline"/>
        <w:spacing w:line="276" w:lineRule="auto"/>
        <w:rPr>
          <w:rFonts w:asciiTheme="minorHAnsi" w:hAnsiTheme="minorHAnsi" w:cstheme="minorHAnsi"/>
          <w:sz w:val="22"/>
          <w:szCs w:val="22"/>
          <w:lang w:val="fi-FI"/>
        </w:rPr>
      </w:pPr>
      <w:r w:rsidRPr="00B51FFA">
        <w:rPr>
          <w:rFonts w:asciiTheme="minorHAnsi" w:hAnsiTheme="minorHAnsi" w:cstheme="minorHAnsi"/>
          <w:sz w:val="22"/>
          <w:szCs w:val="22"/>
        </w:rPr>
        <w:t xml:space="preserve">kus </w:t>
      </w:r>
      <w:r w:rsidRPr="00B51FFA">
        <w:rPr>
          <w:rFonts w:asciiTheme="minorHAnsi" w:hAnsiTheme="minorHAnsi" w:cstheme="minorHAnsi"/>
          <w:position w:val="-14"/>
          <w:sz w:val="22"/>
          <w:szCs w:val="22"/>
        </w:rPr>
        <w:object w:dxaOrig="1719" w:dyaOrig="380">
          <v:shape id="_x0000_i1026" type="#_x0000_t75" style="width:82.5pt;height:17.25pt;mso-position-horizontal:absolute" o:ole="">
            <v:imagedata r:id="rId13" o:title=""/>
          </v:shape>
          <o:OLEObject Type="Embed" ProgID="Equation.3" ShapeID="_x0000_i1026" DrawAspect="Content" ObjectID="_1352108163" r:id="rId14"/>
        </w:object>
      </w:r>
      <w:r w:rsidRPr="00B51FFA">
        <w:rPr>
          <w:rFonts w:asciiTheme="minorHAnsi" w:hAnsiTheme="minorHAnsi" w:cstheme="minorHAnsi"/>
          <w:sz w:val="22"/>
          <w:szCs w:val="22"/>
          <w:lang w:val="fi-FI"/>
        </w:rPr>
        <w:t xml:space="preserve"> – täisaastate arv, mille jooksul kumulatiivne rahavoog on negatiivne</w:t>
      </w:r>
    </w:p>
    <w:p w:rsidR="003F7710" w:rsidRPr="00B51FFA" w:rsidRDefault="003F7710" w:rsidP="003F7710">
      <w:pPr>
        <w:rPr>
          <w:rFonts w:cstheme="minorHAnsi"/>
          <w:lang w:val="fi-FI"/>
        </w:rPr>
      </w:pPr>
      <w:r w:rsidRPr="00B51FFA">
        <w:rPr>
          <w:rFonts w:cstheme="minorHAnsi"/>
          <w:position w:val="-12"/>
        </w:rPr>
        <w:object w:dxaOrig="2420" w:dyaOrig="360">
          <v:shape id="_x0000_i1027" type="#_x0000_t75" style="width:113.25pt;height:16.5pt" o:ole="">
            <v:imagedata r:id="rId15" o:title=""/>
          </v:shape>
          <o:OLEObject Type="Embed" ProgID="Equation.3" ShapeID="_x0000_i1027" DrawAspect="Content" ObjectID="_1352108164" r:id="rId16"/>
        </w:object>
      </w:r>
      <w:r w:rsidRPr="00B51FFA">
        <w:rPr>
          <w:rFonts w:cstheme="minorHAnsi"/>
          <w:lang w:val="fi-FI"/>
        </w:rPr>
        <w:t xml:space="preserve"> – </w:t>
      </w:r>
      <w:proofErr w:type="spellStart"/>
      <w:r w:rsidRPr="00B51FFA">
        <w:rPr>
          <w:rFonts w:cstheme="minorHAnsi"/>
          <w:lang w:val="fi-FI"/>
        </w:rPr>
        <w:t>kumulatiivne</w:t>
      </w:r>
      <w:proofErr w:type="spellEnd"/>
      <w:r w:rsidRPr="00B51FFA">
        <w:rPr>
          <w:rFonts w:cstheme="minorHAnsi"/>
          <w:lang w:val="fi-FI"/>
        </w:rPr>
        <w:t xml:space="preserve"> </w:t>
      </w:r>
      <w:proofErr w:type="spellStart"/>
      <w:r w:rsidRPr="00B51FFA">
        <w:rPr>
          <w:rFonts w:cstheme="minorHAnsi"/>
          <w:lang w:val="fi-FI"/>
        </w:rPr>
        <w:t>rahavoog</w:t>
      </w:r>
      <w:proofErr w:type="spellEnd"/>
      <w:r w:rsidRPr="00B51FFA">
        <w:rPr>
          <w:rFonts w:cstheme="minorHAnsi"/>
          <w:lang w:val="fi-FI"/>
        </w:rPr>
        <w:t xml:space="preserve"> </w:t>
      </w:r>
      <w:proofErr w:type="spellStart"/>
      <w:r w:rsidRPr="00B51FFA">
        <w:rPr>
          <w:rFonts w:cstheme="minorHAnsi"/>
          <w:i/>
          <w:lang w:val="fi-FI"/>
        </w:rPr>
        <w:t>N</w:t>
      </w:r>
      <w:r w:rsidRPr="00B51FFA">
        <w:rPr>
          <w:rFonts w:cstheme="minorHAnsi"/>
          <w:lang w:val="fi-FI"/>
        </w:rPr>
        <w:t>-ndal</w:t>
      </w:r>
      <w:proofErr w:type="spellEnd"/>
      <w:r w:rsidRPr="00B51FFA">
        <w:rPr>
          <w:rFonts w:cstheme="minorHAnsi"/>
          <w:lang w:val="fi-FI"/>
        </w:rPr>
        <w:t xml:space="preserve"> </w:t>
      </w:r>
      <w:proofErr w:type="spellStart"/>
      <w:r w:rsidRPr="00B51FFA">
        <w:rPr>
          <w:rFonts w:cstheme="minorHAnsi"/>
          <w:lang w:val="fi-FI"/>
        </w:rPr>
        <w:t>aastal</w:t>
      </w:r>
      <w:proofErr w:type="spellEnd"/>
      <w:r w:rsidRPr="00B51FFA">
        <w:rPr>
          <w:rFonts w:cstheme="minorHAnsi"/>
          <w:lang w:val="fi-FI"/>
        </w:rPr>
        <w:t xml:space="preserve"> </w:t>
      </w:r>
      <w:r w:rsidRPr="00B51FFA">
        <w:rPr>
          <w:rStyle w:val="FootnoteReference"/>
          <w:rFonts w:cstheme="minorHAnsi"/>
          <w:lang w:val="fi-FI"/>
        </w:rPr>
        <w:footnoteReference w:id="1"/>
      </w:r>
    </w:p>
    <w:p w:rsidR="003F7710" w:rsidRDefault="003F7710" w:rsidP="003F7710">
      <w:pPr>
        <w:rPr>
          <w:rFonts w:cstheme="minorHAnsi"/>
          <w:lang w:val="fi-FI"/>
        </w:rPr>
      </w:pPr>
      <w:r w:rsidRPr="00B51FFA">
        <w:rPr>
          <w:rFonts w:cstheme="minorHAnsi"/>
          <w:position w:val="-12"/>
        </w:rPr>
        <w:object w:dxaOrig="1300" w:dyaOrig="360">
          <v:shape id="_x0000_i1028" type="#_x0000_t75" style="width:61.5pt;height:16.5pt" o:ole="">
            <v:imagedata r:id="rId17" o:title=""/>
          </v:shape>
          <o:OLEObject Type="Embed" ProgID="Equation.3" ShapeID="_x0000_i1028" DrawAspect="Content" ObjectID="_1352108165" r:id="rId18"/>
        </w:object>
      </w:r>
      <w:r w:rsidRPr="00B51FFA">
        <w:rPr>
          <w:rFonts w:cstheme="minorHAnsi"/>
          <w:lang w:val="fi-FI"/>
        </w:rPr>
        <w:t xml:space="preserve"> – </w:t>
      </w:r>
      <w:proofErr w:type="spellStart"/>
      <w:r w:rsidRPr="00B51FFA">
        <w:rPr>
          <w:rFonts w:cstheme="minorHAnsi"/>
          <w:lang w:val="fi-FI"/>
        </w:rPr>
        <w:t>rahavoog</w:t>
      </w:r>
      <w:proofErr w:type="spellEnd"/>
      <w:r w:rsidRPr="00B51FFA">
        <w:rPr>
          <w:rFonts w:cstheme="minorHAnsi"/>
          <w:lang w:val="fi-FI"/>
        </w:rPr>
        <w:t xml:space="preserve"> </w:t>
      </w:r>
      <w:proofErr w:type="spellStart"/>
      <w:r w:rsidRPr="00B51FFA">
        <w:rPr>
          <w:rFonts w:cstheme="minorHAnsi"/>
          <w:i/>
          <w:lang w:val="fi-FI"/>
        </w:rPr>
        <w:t>N</w:t>
      </w:r>
      <w:r w:rsidRPr="00B51FFA">
        <w:rPr>
          <w:rFonts w:cstheme="minorHAnsi"/>
          <w:lang w:val="fi-FI"/>
        </w:rPr>
        <w:t>-ndale</w:t>
      </w:r>
      <w:proofErr w:type="spellEnd"/>
      <w:r w:rsidRPr="00B51FFA">
        <w:rPr>
          <w:rFonts w:cstheme="minorHAnsi"/>
          <w:lang w:val="fi-FI"/>
        </w:rPr>
        <w:t xml:space="preserve"> </w:t>
      </w:r>
      <w:proofErr w:type="spellStart"/>
      <w:r w:rsidRPr="00B51FFA">
        <w:rPr>
          <w:rFonts w:cstheme="minorHAnsi"/>
          <w:lang w:val="fi-FI"/>
        </w:rPr>
        <w:t>aastale</w:t>
      </w:r>
      <w:proofErr w:type="spellEnd"/>
      <w:r w:rsidRPr="00B51FFA">
        <w:rPr>
          <w:rFonts w:cstheme="minorHAnsi"/>
          <w:lang w:val="fi-FI"/>
        </w:rPr>
        <w:t xml:space="preserve"> </w:t>
      </w:r>
      <w:proofErr w:type="spellStart"/>
      <w:r w:rsidRPr="00B51FFA">
        <w:rPr>
          <w:rFonts w:cstheme="minorHAnsi"/>
          <w:lang w:val="fi-FI"/>
        </w:rPr>
        <w:t>järgneval</w:t>
      </w:r>
      <w:proofErr w:type="spellEnd"/>
      <w:r w:rsidRPr="00B51FFA">
        <w:rPr>
          <w:rFonts w:cstheme="minorHAnsi"/>
          <w:lang w:val="fi-FI"/>
        </w:rPr>
        <w:t xml:space="preserve"> </w:t>
      </w:r>
      <w:proofErr w:type="spellStart"/>
      <w:r w:rsidRPr="00B51FFA">
        <w:rPr>
          <w:rFonts w:cstheme="minorHAnsi"/>
          <w:lang w:val="fi-FI"/>
        </w:rPr>
        <w:t>aastal</w:t>
      </w:r>
      <w:proofErr w:type="spellEnd"/>
      <w:r>
        <w:rPr>
          <w:rFonts w:cstheme="minorHAnsi"/>
          <w:lang w:val="fi-FI"/>
        </w:rPr>
        <w:t>.</w:t>
      </w:r>
    </w:p>
    <w:p w:rsidR="003F7710" w:rsidRDefault="003F7710" w:rsidP="003F7710">
      <w:pPr>
        <w:rPr>
          <w:rFonts w:cstheme="minorHAnsi"/>
          <w:lang w:val="fi-FI"/>
        </w:rPr>
      </w:pPr>
      <w:proofErr w:type="spellStart"/>
      <w:r>
        <w:rPr>
          <w:rFonts w:cstheme="minorHAnsi"/>
          <w:lang w:val="fi-FI"/>
        </w:rPr>
        <w:t>Tasuvusaja</w:t>
      </w:r>
      <w:proofErr w:type="spellEnd"/>
      <w:r>
        <w:rPr>
          <w:rFonts w:cstheme="minorHAnsi"/>
          <w:lang w:val="fi-FI"/>
        </w:rPr>
        <w:t xml:space="preserve"> </w:t>
      </w:r>
      <w:proofErr w:type="spellStart"/>
      <w:r>
        <w:rPr>
          <w:rFonts w:cstheme="minorHAnsi"/>
          <w:lang w:val="fi-FI"/>
        </w:rPr>
        <w:t>otsustuskriteerium</w:t>
      </w:r>
      <w:proofErr w:type="spellEnd"/>
      <w:r>
        <w:rPr>
          <w:rFonts w:cstheme="minorHAnsi"/>
          <w:lang w:val="fi-FI"/>
        </w:rPr>
        <w:t xml:space="preserve"> </w:t>
      </w:r>
      <w:proofErr w:type="spellStart"/>
      <w:r>
        <w:rPr>
          <w:rFonts w:cstheme="minorHAnsi"/>
          <w:lang w:val="fi-FI"/>
        </w:rPr>
        <w:t>sõltub</w:t>
      </w:r>
      <w:proofErr w:type="spellEnd"/>
      <w:r>
        <w:rPr>
          <w:rFonts w:cstheme="minorHAnsi"/>
          <w:lang w:val="fi-FI"/>
        </w:rPr>
        <w:t xml:space="preserve"> </w:t>
      </w:r>
      <w:proofErr w:type="spellStart"/>
      <w:r>
        <w:rPr>
          <w:rFonts w:cstheme="minorHAnsi"/>
          <w:lang w:val="fi-FI"/>
        </w:rPr>
        <w:t>investori</w:t>
      </w:r>
      <w:proofErr w:type="spellEnd"/>
      <w:r>
        <w:rPr>
          <w:rFonts w:cstheme="minorHAnsi"/>
          <w:lang w:val="fi-FI"/>
        </w:rPr>
        <w:t xml:space="preserve"> </w:t>
      </w:r>
      <w:proofErr w:type="spellStart"/>
      <w:r>
        <w:rPr>
          <w:rFonts w:cstheme="minorHAnsi"/>
          <w:lang w:val="fi-FI"/>
        </w:rPr>
        <w:t>ootustest</w:t>
      </w:r>
      <w:proofErr w:type="spellEnd"/>
      <w:r>
        <w:rPr>
          <w:rFonts w:cstheme="minorHAnsi"/>
          <w:lang w:val="fi-FI"/>
        </w:rPr>
        <w:t xml:space="preserve"> </w:t>
      </w:r>
      <w:proofErr w:type="spellStart"/>
      <w:r>
        <w:rPr>
          <w:rFonts w:cstheme="minorHAnsi"/>
          <w:lang w:val="fi-FI"/>
        </w:rPr>
        <w:t>tasuvusaja</w:t>
      </w:r>
      <w:proofErr w:type="spellEnd"/>
      <w:r>
        <w:rPr>
          <w:rFonts w:cstheme="minorHAnsi"/>
          <w:lang w:val="fi-FI"/>
        </w:rPr>
        <w:t xml:space="preserve"> </w:t>
      </w:r>
      <w:proofErr w:type="spellStart"/>
      <w:r>
        <w:rPr>
          <w:rFonts w:cstheme="minorHAnsi"/>
          <w:lang w:val="fi-FI"/>
        </w:rPr>
        <w:t>suhtes</w:t>
      </w:r>
      <w:proofErr w:type="spellEnd"/>
      <w:r>
        <w:rPr>
          <w:rFonts w:cstheme="minorHAnsi"/>
          <w:lang w:val="fi-FI"/>
        </w:rPr>
        <w:t>.</w:t>
      </w:r>
    </w:p>
    <w:p w:rsidR="003F7710" w:rsidRDefault="003F7710" w:rsidP="003F7710">
      <w:pPr>
        <w:pStyle w:val="lqiktavaline"/>
        <w:numPr>
          <w:ilvl w:val="0"/>
          <w:numId w:val="6"/>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NPV on investeeringust tulenevate rahavoogude nüüdispuhasväärtus, mõõdetuna rahalises väärtuses. NPV valem on:</w:t>
      </w:r>
    </w:p>
    <w:p w:rsidR="003F7710" w:rsidRDefault="003F7710" w:rsidP="003F7710">
      <w:pPr>
        <w:rPr>
          <w:rFonts w:cstheme="minorHAnsi"/>
          <w:b/>
          <w:position w:val="-30"/>
        </w:rPr>
      </w:pPr>
      <w:r w:rsidRPr="002F468A">
        <w:rPr>
          <w:rFonts w:cstheme="minorHAnsi"/>
          <w:b/>
          <w:position w:val="-30"/>
        </w:rPr>
        <w:object w:dxaOrig="2360" w:dyaOrig="700">
          <v:shape id="_x0000_i1029" type="#_x0000_t75" style="width:120.75pt;height:36pt" o:ole="" fillcolor="window">
            <v:imagedata r:id="rId19" o:title=""/>
          </v:shape>
          <o:OLEObject Type="Embed" ProgID="Equation.3" ShapeID="_x0000_i1029" DrawAspect="Content" ObjectID="_1352108166" r:id="rId20"/>
        </w:object>
      </w:r>
    </w:p>
    <w:p w:rsidR="003F7710" w:rsidRDefault="003F7710" w:rsidP="003F7710">
      <w:pPr>
        <w:rPr>
          <w:rFonts w:cstheme="minorHAnsi"/>
        </w:rPr>
      </w:pPr>
      <w:r w:rsidRPr="00A07B9B">
        <w:rPr>
          <w:rFonts w:cstheme="minorHAnsi"/>
          <w:lang w:val="fi-FI"/>
        </w:rPr>
        <w:t xml:space="preserve"> </w:t>
      </w:r>
      <w:r>
        <w:rPr>
          <w:rFonts w:cstheme="minorHAnsi"/>
          <w:lang w:val="fi-FI"/>
        </w:rPr>
        <w:t xml:space="preserve">NPV </w:t>
      </w:r>
      <w:proofErr w:type="spellStart"/>
      <w:r>
        <w:rPr>
          <w:rFonts w:cstheme="minorHAnsi"/>
          <w:lang w:val="fi-FI"/>
        </w:rPr>
        <w:t>peab</w:t>
      </w:r>
      <w:proofErr w:type="spellEnd"/>
      <w:r>
        <w:rPr>
          <w:rFonts w:cstheme="minorHAnsi"/>
          <w:lang w:val="fi-FI"/>
        </w:rPr>
        <w:t xml:space="preserve"> olema </w:t>
      </w:r>
      <w:proofErr w:type="spellStart"/>
      <w:r>
        <w:rPr>
          <w:rFonts w:cstheme="minorHAnsi"/>
          <w:lang w:val="fi-FI"/>
        </w:rPr>
        <w:t>suurem</w:t>
      </w:r>
      <w:proofErr w:type="spellEnd"/>
      <w:r>
        <w:rPr>
          <w:rFonts w:cstheme="minorHAnsi"/>
          <w:lang w:val="fi-FI"/>
        </w:rPr>
        <w:t xml:space="preserve"> 0-st </w:t>
      </w:r>
      <w:proofErr w:type="spellStart"/>
      <w:r>
        <w:rPr>
          <w:rFonts w:cstheme="minorHAnsi"/>
          <w:lang w:val="fi-FI"/>
        </w:rPr>
        <w:t>või</w:t>
      </w:r>
      <w:proofErr w:type="spellEnd"/>
      <w:r>
        <w:rPr>
          <w:rFonts w:cstheme="minorHAnsi"/>
          <w:lang w:val="fi-FI"/>
        </w:rPr>
        <w:t xml:space="preserve"> </w:t>
      </w:r>
      <w:proofErr w:type="spellStart"/>
      <w:r>
        <w:rPr>
          <w:rFonts w:cstheme="minorHAnsi"/>
          <w:lang w:val="fi-FI"/>
        </w:rPr>
        <w:t>vähemalt</w:t>
      </w:r>
      <w:proofErr w:type="spellEnd"/>
      <w:r>
        <w:rPr>
          <w:rFonts w:cstheme="minorHAnsi"/>
          <w:lang w:val="fi-FI"/>
        </w:rPr>
        <w:t xml:space="preserve"> </w:t>
      </w:r>
      <w:proofErr w:type="spellStart"/>
      <w:r>
        <w:rPr>
          <w:rFonts w:cstheme="minorHAnsi"/>
          <w:lang w:val="fi-FI"/>
        </w:rPr>
        <w:t>võrdne</w:t>
      </w:r>
      <w:proofErr w:type="spellEnd"/>
      <w:r>
        <w:rPr>
          <w:rFonts w:cstheme="minorHAnsi"/>
          <w:lang w:val="fi-FI"/>
        </w:rPr>
        <w:t xml:space="preserve"> 0-ga, et </w:t>
      </w:r>
      <w:proofErr w:type="spellStart"/>
      <w:r>
        <w:rPr>
          <w:rFonts w:cstheme="minorHAnsi"/>
          <w:lang w:val="fi-FI"/>
        </w:rPr>
        <w:t>investeeringut</w:t>
      </w:r>
      <w:proofErr w:type="spellEnd"/>
      <w:r>
        <w:rPr>
          <w:rFonts w:cstheme="minorHAnsi"/>
          <w:lang w:val="fi-FI"/>
        </w:rPr>
        <w:t xml:space="preserve"> </w:t>
      </w:r>
      <w:proofErr w:type="spellStart"/>
      <w:r>
        <w:rPr>
          <w:rFonts w:cstheme="minorHAnsi"/>
          <w:lang w:val="fi-FI"/>
        </w:rPr>
        <w:t>saaks</w:t>
      </w:r>
      <w:proofErr w:type="spellEnd"/>
      <w:r>
        <w:rPr>
          <w:rFonts w:cstheme="minorHAnsi"/>
          <w:lang w:val="fi-FI"/>
        </w:rPr>
        <w:t xml:space="preserve"> </w:t>
      </w:r>
      <w:proofErr w:type="spellStart"/>
      <w:r>
        <w:rPr>
          <w:rFonts w:cstheme="minorHAnsi"/>
          <w:lang w:val="fi-FI"/>
        </w:rPr>
        <w:t>lugeda</w:t>
      </w:r>
      <w:proofErr w:type="spellEnd"/>
      <w:r>
        <w:rPr>
          <w:rFonts w:cstheme="minorHAnsi"/>
          <w:lang w:val="fi-FI"/>
        </w:rPr>
        <w:t xml:space="preserve"> </w:t>
      </w:r>
      <w:proofErr w:type="spellStart"/>
      <w:r>
        <w:rPr>
          <w:rFonts w:cstheme="minorHAnsi"/>
          <w:lang w:val="fi-FI"/>
        </w:rPr>
        <w:t>aktsepteeritavaks</w:t>
      </w:r>
      <w:proofErr w:type="spellEnd"/>
      <w:r>
        <w:rPr>
          <w:rFonts w:cstheme="minorHAnsi"/>
          <w:lang w:val="fi-FI"/>
        </w:rPr>
        <w:t xml:space="preserve">. </w:t>
      </w:r>
    </w:p>
    <w:p w:rsidR="003F7710" w:rsidRPr="002F468A" w:rsidRDefault="003F7710" w:rsidP="003F7710">
      <w:pPr>
        <w:pStyle w:val="lqiktavaline"/>
        <w:numPr>
          <w:ilvl w:val="0"/>
          <w:numId w:val="6"/>
        </w:numPr>
        <w:spacing w:line="276" w:lineRule="auto"/>
        <w:ind w:left="284" w:hanging="284"/>
        <w:rPr>
          <w:rFonts w:asciiTheme="minorHAnsi" w:hAnsiTheme="minorHAnsi" w:cstheme="minorHAnsi"/>
          <w:sz w:val="22"/>
          <w:szCs w:val="22"/>
          <w:lang w:val="et-EE"/>
        </w:rPr>
      </w:pPr>
      <w:r w:rsidRPr="002F468A">
        <w:rPr>
          <w:rFonts w:asciiTheme="minorHAnsi" w:hAnsiTheme="minorHAnsi" w:cstheme="minorHAnsi"/>
          <w:sz w:val="22"/>
          <w:szCs w:val="22"/>
        </w:rPr>
        <w:t xml:space="preserve">IRR on </w:t>
      </w:r>
      <w:r w:rsidRPr="002F468A">
        <w:rPr>
          <w:rFonts w:asciiTheme="minorHAnsi" w:hAnsiTheme="minorHAnsi" w:cstheme="minorHAnsi"/>
          <w:sz w:val="22"/>
          <w:szCs w:val="22"/>
          <w:lang w:val="et-EE"/>
        </w:rPr>
        <w:t>diskonto</w:t>
      </w:r>
      <w:r w:rsidRPr="002F468A">
        <w:rPr>
          <w:rFonts w:asciiTheme="minorHAnsi" w:hAnsiTheme="minorHAnsi" w:cstheme="minorHAnsi"/>
          <w:sz w:val="22"/>
          <w:szCs w:val="22"/>
          <w:lang w:val="et-EE"/>
        </w:rPr>
        <w:softHyphen/>
        <w:t>määr</w:t>
      </w:r>
      <w:r>
        <w:rPr>
          <w:rFonts w:asciiTheme="minorHAnsi" w:hAnsiTheme="minorHAnsi" w:cstheme="minorHAnsi"/>
          <w:sz w:val="22"/>
          <w:szCs w:val="22"/>
          <w:lang w:val="et-EE"/>
        </w:rPr>
        <w:t xml:space="preserve"> (protsent)</w:t>
      </w:r>
      <w:r w:rsidRPr="002F468A">
        <w:rPr>
          <w:rFonts w:asciiTheme="minorHAnsi" w:hAnsiTheme="minorHAnsi" w:cstheme="minorHAnsi"/>
          <w:sz w:val="22"/>
          <w:szCs w:val="22"/>
          <w:lang w:val="et-EE"/>
        </w:rPr>
        <w:t>, mis võrd</w:t>
      </w:r>
      <w:r w:rsidRPr="002F468A">
        <w:rPr>
          <w:rFonts w:asciiTheme="minorHAnsi" w:hAnsiTheme="minorHAnsi" w:cstheme="minorHAnsi"/>
          <w:sz w:val="22"/>
          <w:szCs w:val="22"/>
          <w:lang w:val="et-EE"/>
        </w:rPr>
        <w:softHyphen/>
        <w:t>sus</w:t>
      </w:r>
      <w:r w:rsidRPr="002F468A">
        <w:rPr>
          <w:rFonts w:asciiTheme="minorHAnsi" w:hAnsiTheme="minorHAnsi" w:cstheme="minorHAnsi"/>
          <w:sz w:val="22"/>
          <w:szCs w:val="22"/>
          <w:lang w:val="et-EE"/>
        </w:rPr>
        <w:softHyphen/>
        <w:t>tab pro</w:t>
      </w:r>
      <w:r w:rsidRPr="002F468A">
        <w:rPr>
          <w:rFonts w:asciiTheme="minorHAnsi" w:hAnsiTheme="minorHAnsi" w:cstheme="minorHAnsi"/>
          <w:sz w:val="22"/>
          <w:szCs w:val="22"/>
          <w:lang w:val="et-EE"/>
        </w:rPr>
        <w:softHyphen/>
        <w:t>jekti tu</w:t>
      </w:r>
      <w:r w:rsidRPr="002F468A">
        <w:rPr>
          <w:rFonts w:asciiTheme="minorHAnsi" w:hAnsiTheme="minorHAnsi" w:cstheme="minorHAnsi"/>
          <w:sz w:val="22"/>
          <w:szCs w:val="22"/>
          <w:lang w:val="et-EE"/>
        </w:rPr>
        <w:softHyphen/>
        <w:t>le</w:t>
      </w:r>
      <w:r w:rsidRPr="002F468A">
        <w:rPr>
          <w:rFonts w:asciiTheme="minorHAnsi" w:hAnsiTheme="minorHAnsi" w:cstheme="minorHAnsi"/>
          <w:sz w:val="22"/>
          <w:szCs w:val="22"/>
          <w:lang w:val="et-EE"/>
        </w:rPr>
        <w:softHyphen/>
        <w:t>vaste rahavoogude nüüdisväärtuse projekti esialg</w:t>
      </w:r>
      <w:r>
        <w:rPr>
          <w:rFonts w:asciiTheme="minorHAnsi" w:hAnsiTheme="minorHAnsi" w:cstheme="minorHAnsi"/>
          <w:sz w:val="22"/>
          <w:szCs w:val="22"/>
          <w:lang w:val="et-EE"/>
        </w:rPr>
        <w:softHyphen/>
      </w:r>
      <w:r w:rsidRPr="002F468A">
        <w:rPr>
          <w:rFonts w:asciiTheme="minorHAnsi" w:hAnsiTheme="minorHAnsi" w:cstheme="minorHAnsi"/>
          <w:sz w:val="22"/>
          <w:szCs w:val="22"/>
          <w:lang w:val="et-EE"/>
        </w:rPr>
        <w:t>se</w:t>
      </w:r>
      <w:r>
        <w:rPr>
          <w:rFonts w:asciiTheme="minorHAnsi" w:hAnsiTheme="minorHAnsi" w:cstheme="minorHAnsi"/>
          <w:sz w:val="22"/>
          <w:szCs w:val="22"/>
          <w:lang w:val="et-EE"/>
        </w:rPr>
        <w:softHyphen/>
      </w:r>
      <w:r w:rsidRPr="002F468A">
        <w:rPr>
          <w:rFonts w:asciiTheme="minorHAnsi" w:hAnsiTheme="minorHAnsi" w:cstheme="minorHAnsi"/>
          <w:sz w:val="22"/>
          <w:szCs w:val="22"/>
          <w:lang w:val="et-EE"/>
        </w:rPr>
        <w:t>te kuludega, tingimuse juures, kus NPV=0. IRR-i valem on:</w:t>
      </w:r>
    </w:p>
    <w:p w:rsidR="003F7710" w:rsidRDefault="003F7710" w:rsidP="003F7710">
      <w:pPr>
        <w:autoSpaceDE w:val="0"/>
        <w:autoSpaceDN w:val="0"/>
        <w:adjustRightInd w:val="0"/>
        <w:spacing w:after="0" w:line="240" w:lineRule="auto"/>
        <w:ind w:firstLine="708"/>
        <w:jc w:val="both"/>
        <w:rPr>
          <w:rFonts w:cstheme="minorHAnsi"/>
          <w:b/>
          <w:position w:val="-30"/>
        </w:rPr>
      </w:pPr>
      <w:r w:rsidRPr="002F468A">
        <w:rPr>
          <w:rFonts w:cstheme="minorHAnsi"/>
          <w:b/>
          <w:position w:val="-30"/>
        </w:rPr>
        <w:object w:dxaOrig="1740" w:dyaOrig="700">
          <v:shape id="_x0000_i1030" type="#_x0000_t75" style="width:89.25pt;height:36pt" o:ole="" fillcolor="window">
            <v:imagedata r:id="rId21" o:title=""/>
          </v:shape>
          <o:OLEObject Type="Embed" ProgID="Equation.3" ShapeID="_x0000_i1030" DrawAspect="Content" ObjectID="_1352108167" r:id="rId22"/>
        </w:object>
      </w:r>
    </w:p>
    <w:p w:rsidR="003F7710" w:rsidRPr="00A07B9B" w:rsidRDefault="003F7710" w:rsidP="003F7710">
      <w:pPr>
        <w:autoSpaceDE w:val="0"/>
        <w:autoSpaceDN w:val="0"/>
        <w:adjustRightInd w:val="0"/>
        <w:spacing w:after="0" w:line="240" w:lineRule="auto"/>
        <w:jc w:val="both"/>
        <w:rPr>
          <w:rFonts w:cstheme="minorHAnsi"/>
          <w:position w:val="-30"/>
        </w:rPr>
      </w:pPr>
      <w:r w:rsidRPr="00A07B9B">
        <w:rPr>
          <w:rFonts w:cstheme="minorHAnsi"/>
          <w:position w:val="-30"/>
        </w:rPr>
        <w:t>IRR peab olema suurem või võrdne investori nõutava tulunormiga.</w:t>
      </w:r>
    </w:p>
    <w:p w:rsidR="00EE259C" w:rsidRPr="00EE259C" w:rsidRDefault="00EE259C" w:rsidP="00EE259C">
      <w:pPr>
        <w:autoSpaceDE w:val="0"/>
        <w:autoSpaceDN w:val="0"/>
        <w:adjustRightInd w:val="0"/>
        <w:spacing w:after="0" w:line="240" w:lineRule="auto"/>
        <w:jc w:val="both"/>
        <w:rPr>
          <w:rFonts w:ascii="Times New Roman" w:hAnsi="Times New Roman" w:cs="Times New Roman"/>
          <w:sz w:val="24"/>
          <w:szCs w:val="24"/>
        </w:rPr>
      </w:pPr>
    </w:p>
    <w:p w:rsidR="00EE259C" w:rsidRPr="00EE259C" w:rsidRDefault="00EE259C" w:rsidP="00EE25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Pr="00EE259C">
        <w:rPr>
          <w:rFonts w:ascii="Times New Roman" w:hAnsi="Times New Roman"/>
          <w:sz w:val="24"/>
          <w:szCs w:val="24"/>
        </w:rPr>
        <w:t xml:space="preserve">Selgitage palun aritmeetilise ja geomeetrilise keskmise erinevust. Tooge näide. </w:t>
      </w:r>
    </w:p>
    <w:p w:rsidR="00EE259C" w:rsidRDefault="00EE259C" w:rsidP="00EE259C">
      <w:pPr>
        <w:autoSpaceDE w:val="0"/>
        <w:autoSpaceDN w:val="0"/>
        <w:adjustRightInd w:val="0"/>
        <w:spacing w:after="0" w:line="240" w:lineRule="auto"/>
        <w:jc w:val="both"/>
        <w:rPr>
          <w:rFonts w:ascii="Times New Roman" w:hAnsi="Times New Roman"/>
          <w:sz w:val="24"/>
          <w:szCs w:val="24"/>
        </w:rPr>
      </w:pPr>
      <w:r w:rsidRPr="00EE259C">
        <w:rPr>
          <w:rFonts w:ascii="Times New Roman" w:hAnsi="Times New Roman"/>
          <w:sz w:val="24"/>
          <w:szCs w:val="24"/>
        </w:rPr>
        <w:t>Milline neist annab tavaliselt kõrgema tulemuse (kui annab)?</w:t>
      </w:r>
    </w:p>
    <w:p w:rsidR="00EE259C" w:rsidRDefault="00EE259C" w:rsidP="00EE259C">
      <w:pPr>
        <w:autoSpaceDE w:val="0"/>
        <w:autoSpaceDN w:val="0"/>
        <w:adjustRightInd w:val="0"/>
        <w:spacing w:after="0" w:line="240" w:lineRule="auto"/>
        <w:jc w:val="both"/>
        <w:rPr>
          <w:rFonts w:ascii="Times New Roman" w:hAnsi="Times New Roman"/>
          <w:sz w:val="24"/>
          <w:szCs w:val="24"/>
        </w:rPr>
      </w:pPr>
    </w:p>
    <w:p w:rsidR="003F7710" w:rsidRPr="00533C99" w:rsidRDefault="00EE259C" w:rsidP="003F7710">
      <w:pPr>
        <w:autoSpaceDE w:val="0"/>
        <w:autoSpaceDN w:val="0"/>
        <w:adjustRightInd w:val="0"/>
        <w:spacing w:after="0" w:line="240" w:lineRule="auto"/>
        <w:jc w:val="both"/>
        <w:rPr>
          <w:rFonts w:cstheme="minorHAnsi"/>
        </w:rPr>
      </w:pPr>
      <w:r>
        <w:rPr>
          <w:rFonts w:ascii="Times New Roman" w:hAnsi="Times New Roman"/>
          <w:sz w:val="24"/>
          <w:szCs w:val="24"/>
        </w:rPr>
        <w:t>Vastus:</w:t>
      </w:r>
      <w:r w:rsidR="003F7710">
        <w:rPr>
          <w:rFonts w:ascii="Times New Roman" w:hAnsi="Times New Roman"/>
          <w:sz w:val="24"/>
          <w:szCs w:val="24"/>
        </w:rPr>
        <w:t xml:space="preserve"> </w:t>
      </w:r>
      <w:r w:rsidR="003F7710" w:rsidRPr="00533C99">
        <w:rPr>
          <w:rFonts w:cstheme="minorHAnsi"/>
        </w:rPr>
        <w:t>Arvude </w:t>
      </w:r>
      <w:r w:rsidR="003F7710" w:rsidRPr="00533C99">
        <w:rPr>
          <w:rFonts w:cstheme="minorHAnsi"/>
          <w:noProof/>
          <w:lang w:eastAsia="et-EE"/>
        </w:rPr>
        <w:drawing>
          <wp:inline distT="0" distB="0" distL="0" distR="0" wp14:anchorId="5BD13F49" wp14:editId="0575B4B5">
            <wp:extent cx="723900" cy="161925"/>
            <wp:effectExtent l="19050" t="0" r="0" b="0"/>
            <wp:docPr id="44" name="Picture 44" descr="http://www.valemid.ee/images/stories/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lemid.ee/images/stories/003/3.png"/>
                    <pic:cNvPicPr>
                      <a:picLocks noChangeAspect="1" noChangeArrowheads="1"/>
                    </pic:cNvPicPr>
                  </pic:nvPicPr>
                  <pic:blipFill>
                    <a:blip r:embed="rId23"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r w:rsidR="003F7710" w:rsidRPr="00533C99">
        <w:rPr>
          <w:rFonts w:cstheme="minorHAnsi"/>
        </w:rPr>
        <w:t> aritmeetiline keskmine:</w:t>
      </w:r>
      <w:bookmarkStart w:id="0" w:name="_GoBack"/>
      <w:bookmarkEnd w:id="0"/>
    </w:p>
    <w:p w:rsidR="003F7710" w:rsidRDefault="003F7710" w:rsidP="003F7710">
      <w:pPr>
        <w:autoSpaceDE w:val="0"/>
        <w:autoSpaceDN w:val="0"/>
        <w:adjustRightInd w:val="0"/>
        <w:spacing w:after="0" w:line="240" w:lineRule="auto"/>
        <w:ind w:firstLine="708"/>
        <w:jc w:val="both"/>
        <w:rPr>
          <w:rFonts w:cstheme="minorHAnsi"/>
          <w:b/>
        </w:rPr>
      </w:pPr>
      <w:r>
        <w:rPr>
          <w:rFonts w:cstheme="minorHAnsi"/>
          <w:b/>
          <w:noProof/>
          <w:lang w:eastAsia="et-EE"/>
        </w:rPr>
        <w:drawing>
          <wp:inline distT="0" distB="0" distL="0" distR="0" wp14:anchorId="0FA2276C" wp14:editId="5ACF1F64">
            <wp:extent cx="1695450" cy="4095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1695450" cy="409575"/>
                    </a:xfrm>
                    <a:prstGeom prst="rect">
                      <a:avLst/>
                    </a:prstGeom>
                    <a:noFill/>
                    <a:ln w="9525">
                      <a:noFill/>
                      <a:miter lim="800000"/>
                      <a:headEnd/>
                      <a:tailEnd/>
                    </a:ln>
                  </pic:spPr>
                </pic:pic>
              </a:graphicData>
            </a:graphic>
          </wp:inline>
        </w:drawing>
      </w:r>
    </w:p>
    <w:p w:rsidR="003F7710" w:rsidRDefault="003F7710" w:rsidP="003F7710">
      <w:pPr>
        <w:autoSpaceDE w:val="0"/>
        <w:autoSpaceDN w:val="0"/>
        <w:adjustRightInd w:val="0"/>
        <w:spacing w:after="0" w:line="240" w:lineRule="auto"/>
        <w:jc w:val="both"/>
        <w:rPr>
          <w:rFonts w:cstheme="minorHAnsi"/>
          <w:b/>
        </w:rPr>
      </w:pPr>
    </w:p>
    <w:p w:rsidR="003F7710" w:rsidRPr="00533C99" w:rsidRDefault="003F7710" w:rsidP="003F7710">
      <w:pPr>
        <w:autoSpaceDE w:val="0"/>
        <w:autoSpaceDN w:val="0"/>
        <w:adjustRightInd w:val="0"/>
        <w:spacing w:after="0" w:line="240" w:lineRule="auto"/>
        <w:jc w:val="both"/>
        <w:rPr>
          <w:rFonts w:cstheme="minorHAnsi"/>
        </w:rPr>
      </w:pPr>
      <w:r w:rsidRPr="00533C99">
        <w:rPr>
          <w:rFonts w:cstheme="minorHAnsi"/>
        </w:rPr>
        <w:t> Positiivsete arvude </w:t>
      </w:r>
      <w:r w:rsidRPr="00533C99">
        <w:rPr>
          <w:rFonts w:cstheme="minorHAnsi"/>
          <w:noProof/>
          <w:lang w:eastAsia="et-EE"/>
        </w:rPr>
        <w:drawing>
          <wp:inline distT="0" distB="0" distL="0" distR="0" wp14:anchorId="56F43244" wp14:editId="71394CF7">
            <wp:extent cx="723900" cy="161925"/>
            <wp:effectExtent l="19050" t="0" r="0" b="0"/>
            <wp:docPr id="50" name="Picture 50" descr="http://www.valemid.ee/images/stories/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alemid.ee/images/stories/003/3.png"/>
                    <pic:cNvPicPr>
                      <a:picLocks noChangeAspect="1" noChangeArrowheads="1"/>
                    </pic:cNvPicPr>
                  </pic:nvPicPr>
                  <pic:blipFill>
                    <a:blip r:embed="rId23"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r w:rsidRPr="00533C99">
        <w:rPr>
          <w:rFonts w:cstheme="minorHAnsi"/>
        </w:rPr>
        <w:t>geomeetriline keskmine</w:t>
      </w:r>
      <w:r>
        <w:rPr>
          <w:rFonts w:cstheme="minorHAnsi"/>
        </w:rPr>
        <w:t>:</w:t>
      </w:r>
    </w:p>
    <w:p w:rsidR="003F7710" w:rsidRDefault="003F7710" w:rsidP="003F7710">
      <w:pPr>
        <w:autoSpaceDE w:val="0"/>
        <w:autoSpaceDN w:val="0"/>
        <w:adjustRightInd w:val="0"/>
        <w:spacing w:after="0" w:line="240" w:lineRule="auto"/>
        <w:ind w:firstLine="360"/>
        <w:jc w:val="both"/>
        <w:rPr>
          <w:rFonts w:cstheme="minorHAnsi"/>
          <w:b/>
        </w:rPr>
      </w:pPr>
      <w:r>
        <w:rPr>
          <w:rFonts w:cstheme="minorHAnsi"/>
          <w:b/>
          <w:noProof/>
          <w:lang w:eastAsia="et-EE"/>
        </w:rPr>
        <w:lastRenderedPageBreak/>
        <w:drawing>
          <wp:inline distT="0" distB="0" distL="0" distR="0" wp14:anchorId="3E4AA002" wp14:editId="4FE9455E">
            <wp:extent cx="1333500" cy="28575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cstate="print"/>
                    <a:srcRect/>
                    <a:stretch>
                      <a:fillRect/>
                    </a:stretch>
                  </pic:blipFill>
                  <pic:spPr bwMode="auto">
                    <a:xfrm>
                      <a:off x="0" y="0"/>
                      <a:ext cx="1333500" cy="285750"/>
                    </a:xfrm>
                    <a:prstGeom prst="rect">
                      <a:avLst/>
                    </a:prstGeom>
                    <a:noFill/>
                    <a:ln w="9525">
                      <a:noFill/>
                      <a:miter lim="800000"/>
                      <a:headEnd/>
                      <a:tailEnd/>
                    </a:ln>
                  </pic:spPr>
                </pic:pic>
              </a:graphicData>
            </a:graphic>
          </wp:inline>
        </w:drawing>
      </w:r>
    </w:p>
    <w:p w:rsidR="001968AE" w:rsidRDefault="001968AE" w:rsidP="003F7710">
      <w:pPr>
        <w:autoSpaceDE w:val="0"/>
        <w:autoSpaceDN w:val="0"/>
        <w:adjustRightInd w:val="0"/>
        <w:spacing w:after="0" w:line="240" w:lineRule="auto"/>
        <w:ind w:firstLine="360"/>
        <w:jc w:val="both"/>
        <w:rPr>
          <w:rFonts w:cstheme="minorHAnsi"/>
          <w:b/>
        </w:rPr>
      </w:pPr>
    </w:p>
    <w:p w:rsidR="001968AE" w:rsidRPr="001968AE" w:rsidRDefault="001968AE" w:rsidP="001968AE">
      <w:pPr>
        <w:autoSpaceDE w:val="0"/>
        <w:autoSpaceDN w:val="0"/>
        <w:adjustRightInd w:val="0"/>
        <w:spacing w:after="0" w:line="240" w:lineRule="auto"/>
        <w:jc w:val="both"/>
        <w:rPr>
          <w:rFonts w:ascii="Times New Roman" w:hAnsi="Times New Roman" w:cs="Times New Roman"/>
        </w:rPr>
      </w:pPr>
      <w:r w:rsidRPr="001968AE">
        <w:rPr>
          <w:rFonts w:ascii="Times New Roman" w:hAnsi="Times New Roman" w:cs="Times New Roman"/>
        </w:rPr>
        <w:t>Aritmeetiline keskmine annab reeglina suurema tulemuse.</w:t>
      </w:r>
    </w:p>
    <w:p w:rsidR="001968AE" w:rsidRDefault="001968AE" w:rsidP="003F7710">
      <w:pPr>
        <w:autoSpaceDE w:val="0"/>
        <w:autoSpaceDN w:val="0"/>
        <w:adjustRightInd w:val="0"/>
        <w:spacing w:after="0" w:line="240" w:lineRule="auto"/>
        <w:ind w:firstLine="360"/>
        <w:jc w:val="both"/>
        <w:rPr>
          <w:rFonts w:cstheme="minorHAnsi"/>
          <w:b/>
        </w:rPr>
      </w:pPr>
    </w:p>
    <w:p w:rsidR="00EE259C" w:rsidRPr="00EE259C" w:rsidRDefault="00EE259C" w:rsidP="00EE259C">
      <w:pPr>
        <w:autoSpaceDE w:val="0"/>
        <w:autoSpaceDN w:val="0"/>
        <w:adjustRightInd w:val="0"/>
        <w:spacing w:after="0" w:line="240" w:lineRule="auto"/>
        <w:jc w:val="both"/>
        <w:rPr>
          <w:rFonts w:ascii="Times New Roman" w:hAnsi="Times New Roman"/>
          <w:sz w:val="24"/>
          <w:szCs w:val="24"/>
        </w:rPr>
      </w:pPr>
    </w:p>
    <w:p w:rsidR="00EE259C" w:rsidRPr="00EE259C" w:rsidRDefault="00EE259C" w:rsidP="00AD68AE">
      <w:pPr>
        <w:spacing w:after="0"/>
        <w:jc w:val="both"/>
        <w:rPr>
          <w:rFonts w:ascii="Times New Roman" w:hAnsi="Times New Roman" w:cs="Times New Roman"/>
          <w:sz w:val="24"/>
          <w:szCs w:val="24"/>
        </w:rPr>
      </w:pPr>
    </w:p>
    <w:p w:rsidR="00EE259C" w:rsidRPr="00EE259C" w:rsidRDefault="00EE259C" w:rsidP="00EE25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Pr="00EE259C">
        <w:rPr>
          <w:rFonts w:ascii="Times New Roman" w:hAnsi="Times New Roman"/>
          <w:sz w:val="24"/>
          <w:szCs w:val="24"/>
        </w:rPr>
        <w:t xml:space="preserve">Selgitage palun, milline on erinevus füüsilisel ja majanduslikul vakantsusel? </w:t>
      </w:r>
    </w:p>
    <w:p w:rsidR="00EE259C" w:rsidRPr="00EE259C" w:rsidRDefault="00EE259C" w:rsidP="00EE259C">
      <w:pPr>
        <w:autoSpaceDE w:val="0"/>
        <w:autoSpaceDN w:val="0"/>
        <w:adjustRightInd w:val="0"/>
        <w:spacing w:after="0" w:line="240" w:lineRule="auto"/>
        <w:jc w:val="both"/>
        <w:rPr>
          <w:rFonts w:ascii="Times New Roman" w:hAnsi="Times New Roman" w:cs="Times New Roman"/>
          <w:sz w:val="24"/>
          <w:szCs w:val="24"/>
        </w:rPr>
      </w:pPr>
    </w:p>
    <w:p w:rsidR="003F7710" w:rsidRPr="003F7710" w:rsidRDefault="00EE259C" w:rsidP="003F771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Vastus: </w:t>
      </w:r>
      <w:r w:rsidR="003F7710" w:rsidRPr="003F7710">
        <w:rPr>
          <w:rFonts w:ascii="Times New Roman" w:hAnsi="Times New Roman" w:cs="Times New Roman"/>
          <w:sz w:val="24"/>
          <w:szCs w:val="24"/>
        </w:rPr>
        <w:t>Füüsilise vakant</w:t>
      </w:r>
      <w:r w:rsidR="003F7710" w:rsidRPr="003F7710">
        <w:rPr>
          <w:rFonts w:ascii="Times New Roman" w:hAnsi="Times New Roman" w:cs="Times New Roman"/>
          <w:sz w:val="24"/>
          <w:szCs w:val="24"/>
        </w:rPr>
        <w:softHyphen/>
        <w:t>si</w:t>
      </w:r>
      <w:r w:rsidR="003F7710" w:rsidRPr="003F7710">
        <w:rPr>
          <w:rFonts w:ascii="Times New Roman" w:hAnsi="Times New Roman" w:cs="Times New Roman"/>
          <w:sz w:val="24"/>
          <w:szCs w:val="24"/>
        </w:rPr>
        <w:softHyphen/>
      </w:r>
      <w:r w:rsidR="003F7710" w:rsidRPr="003F7710">
        <w:rPr>
          <w:rFonts w:ascii="Times New Roman" w:hAnsi="Times New Roman" w:cs="Times New Roman"/>
          <w:sz w:val="24"/>
          <w:szCs w:val="24"/>
        </w:rPr>
        <w:softHyphen/>
        <w:t>mää</w:t>
      </w:r>
      <w:r w:rsidR="003F7710" w:rsidRPr="003F7710">
        <w:rPr>
          <w:rFonts w:ascii="Times New Roman" w:hAnsi="Times New Roman" w:cs="Times New Roman"/>
          <w:sz w:val="24"/>
          <w:szCs w:val="24"/>
        </w:rPr>
        <w:softHyphen/>
        <w:t>ra puhul on tegemist suhtarvuga, mis saadakse hoone oletatava vaba pinna jagamisel kogu</w:t>
      </w:r>
      <w:r w:rsidR="003F7710" w:rsidRPr="003F7710">
        <w:rPr>
          <w:rFonts w:ascii="Times New Roman" w:hAnsi="Times New Roman" w:cs="Times New Roman"/>
          <w:sz w:val="24"/>
          <w:szCs w:val="24"/>
        </w:rPr>
        <w:softHyphen/>
        <w:t>pin</w:t>
      </w:r>
      <w:r w:rsidR="003F7710" w:rsidRPr="003F7710">
        <w:rPr>
          <w:rFonts w:ascii="Times New Roman" w:hAnsi="Times New Roman" w:cs="Times New Roman"/>
          <w:sz w:val="24"/>
          <w:szCs w:val="24"/>
        </w:rPr>
        <w:softHyphen/>
        <w:t>naga (mõlemad m</w:t>
      </w:r>
      <w:r w:rsidR="003F7710" w:rsidRPr="003F7710">
        <w:rPr>
          <w:rFonts w:ascii="Times New Roman" w:hAnsi="Times New Roman" w:cs="Times New Roman"/>
          <w:sz w:val="24"/>
          <w:szCs w:val="24"/>
          <w:vertAlign w:val="superscript"/>
        </w:rPr>
        <w:t>2</w:t>
      </w:r>
      <w:r w:rsidR="003F7710" w:rsidRPr="003F7710">
        <w:rPr>
          <w:rFonts w:ascii="Times New Roman" w:hAnsi="Times New Roman" w:cs="Times New Roman"/>
          <w:sz w:val="24"/>
          <w:szCs w:val="24"/>
        </w:rPr>
        <w:t>). Vaba pinna leidmiseks pikaajaliste üürilepingute korral tuleb arvutada eel</w:t>
      </w:r>
      <w:r w:rsidR="003F7710" w:rsidRPr="003F7710">
        <w:rPr>
          <w:rFonts w:ascii="Times New Roman" w:hAnsi="Times New Roman" w:cs="Times New Roman"/>
          <w:sz w:val="24"/>
          <w:szCs w:val="24"/>
        </w:rPr>
        <w:softHyphen/>
        <w:t>da</w:t>
      </w:r>
      <w:r w:rsidR="003F7710" w:rsidRPr="003F7710">
        <w:rPr>
          <w:rFonts w:ascii="Times New Roman" w:hAnsi="Times New Roman" w:cs="Times New Roman"/>
          <w:sz w:val="24"/>
          <w:szCs w:val="24"/>
        </w:rPr>
        <w:softHyphen/>
        <w:t>tav vakantsus iga pinnaühiku kohta arvestades üürilepingute lõppemist. Tulemust on vajalik võr</w:t>
      </w:r>
      <w:r w:rsidR="003F7710" w:rsidRPr="003F7710">
        <w:rPr>
          <w:rFonts w:ascii="Times New Roman" w:hAnsi="Times New Roman" w:cs="Times New Roman"/>
          <w:sz w:val="24"/>
          <w:szCs w:val="24"/>
        </w:rPr>
        <w:softHyphen/>
        <w:t>rel</w:t>
      </w:r>
      <w:r w:rsidR="003F7710" w:rsidRPr="003F7710">
        <w:rPr>
          <w:rFonts w:ascii="Times New Roman" w:hAnsi="Times New Roman" w:cs="Times New Roman"/>
          <w:sz w:val="24"/>
          <w:szCs w:val="24"/>
        </w:rPr>
        <w:softHyphen/>
        <w:t>da ja vajadusel korrigeerida turu tüüpilise vakantsimääraga, mis on saadaval samasuguste hoo</w:t>
      </w:r>
      <w:r w:rsidR="003F7710" w:rsidRPr="003F7710">
        <w:rPr>
          <w:rFonts w:ascii="Times New Roman" w:hAnsi="Times New Roman" w:cs="Times New Roman"/>
          <w:sz w:val="24"/>
          <w:szCs w:val="24"/>
        </w:rPr>
        <w:softHyphen/>
        <w:t xml:space="preserve">nete kohta. </w:t>
      </w:r>
      <w:r w:rsidR="003F7710" w:rsidRPr="003F7710">
        <w:rPr>
          <w:rFonts w:ascii="Times New Roman" w:eastAsia="Calibri" w:hAnsi="Times New Roman" w:cs="Times New Roman"/>
          <w:sz w:val="24"/>
          <w:szCs w:val="24"/>
        </w:rPr>
        <w:t>Majanduslik vakantsimäär näitab seevastu, palju jääb üürileandjal rahaliselt (%-na mak</w:t>
      </w:r>
      <w:r w:rsidR="003F7710" w:rsidRPr="003F7710">
        <w:rPr>
          <w:rFonts w:ascii="Times New Roman" w:eastAsia="Calibri" w:hAnsi="Times New Roman" w:cs="Times New Roman"/>
          <w:sz w:val="24"/>
          <w:szCs w:val="24"/>
        </w:rPr>
        <w:softHyphen/>
        <w:t>si</w:t>
      </w:r>
      <w:r w:rsidR="003F7710" w:rsidRPr="003F7710">
        <w:rPr>
          <w:rFonts w:ascii="Times New Roman" w:eastAsia="Calibri" w:hAnsi="Times New Roman" w:cs="Times New Roman"/>
          <w:sz w:val="24"/>
          <w:szCs w:val="24"/>
        </w:rPr>
        <w:softHyphen/>
        <w:t>maalsest üüritulust) saamata väljaüürimata pinnast. Kinnisvarast tulene</w:t>
      </w:r>
      <w:r w:rsidR="003F7710" w:rsidRPr="003F7710">
        <w:rPr>
          <w:rFonts w:ascii="Times New Roman" w:eastAsia="Calibri" w:hAnsi="Times New Roman" w:cs="Times New Roman"/>
          <w:sz w:val="24"/>
          <w:szCs w:val="24"/>
        </w:rPr>
        <w:softHyphen/>
        <w:t>va</w:t>
      </w:r>
      <w:r w:rsidR="003F7710" w:rsidRPr="003F7710">
        <w:rPr>
          <w:rFonts w:ascii="Times New Roman" w:eastAsia="Calibri" w:hAnsi="Times New Roman" w:cs="Times New Roman"/>
          <w:sz w:val="24"/>
          <w:szCs w:val="24"/>
        </w:rPr>
        <w:softHyphen/>
        <w:t>te rahavoogude kalku</w:t>
      </w:r>
      <w:r w:rsidR="003F7710" w:rsidRPr="003F7710">
        <w:rPr>
          <w:rFonts w:ascii="Times New Roman" w:eastAsia="Calibri" w:hAnsi="Times New Roman" w:cs="Times New Roman"/>
          <w:sz w:val="24"/>
          <w:szCs w:val="24"/>
        </w:rPr>
        <w:softHyphen/>
        <w:t>lee</w:t>
      </w:r>
      <w:r w:rsidR="003F7710" w:rsidRPr="003F7710">
        <w:rPr>
          <w:rFonts w:ascii="Times New Roman" w:eastAsia="Calibri" w:hAnsi="Times New Roman" w:cs="Times New Roman"/>
          <w:sz w:val="24"/>
          <w:szCs w:val="24"/>
        </w:rPr>
        <w:softHyphen/>
        <w:t>rimisel tuleks arvestada just majandusliku vakantsusega.</w:t>
      </w:r>
    </w:p>
    <w:p w:rsidR="008051A5" w:rsidRDefault="008051A5" w:rsidP="00EE259C">
      <w:pPr>
        <w:autoSpaceDE w:val="0"/>
        <w:autoSpaceDN w:val="0"/>
        <w:adjustRightInd w:val="0"/>
        <w:spacing w:after="0"/>
        <w:jc w:val="both"/>
        <w:rPr>
          <w:rFonts w:ascii="Times New Roman" w:eastAsia="Calibri" w:hAnsi="Times New Roman" w:cs="Times New Roman"/>
          <w:sz w:val="24"/>
          <w:szCs w:val="24"/>
        </w:rPr>
      </w:pPr>
    </w:p>
    <w:p w:rsidR="008051A5" w:rsidRPr="002C7403" w:rsidRDefault="008051A5" w:rsidP="008051A5">
      <w:pPr>
        <w:spacing w:after="0" w:line="240" w:lineRule="auto"/>
        <w:rPr>
          <w:rFonts w:ascii="Times New Roman" w:eastAsia="Calibri" w:hAnsi="Times New Roman" w:cs="Times New Roman"/>
          <w:bCs/>
          <w:sz w:val="24"/>
          <w:szCs w:val="24"/>
        </w:rPr>
      </w:pPr>
      <w:r w:rsidRPr="002C7403">
        <w:rPr>
          <w:rFonts w:ascii="Times New Roman" w:hAnsi="Times New Roman" w:cs="Times New Roman"/>
          <w:bCs/>
          <w:sz w:val="24"/>
          <w:szCs w:val="24"/>
        </w:rPr>
        <w:t xml:space="preserve">13. </w:t>
      </w:r>
      <w:r w:rsidRPr="002C7403">
        <w:rPr>
          <w:rFonts w:ascii="Times New Roman" w:eastAsia="Calibri" w:hAnsi="Times New Roman" w:cs="Times New Roman"/>
          <w:bCs/>
          <w:sz w:val="24"/>
          <w:szCs w:val="24"/>
        </w:rPr>
        <w:t>Kes ja kelle ettepanekul otsustab maa korralise hindamise läbiviimise.</w:t>
      </w:r>
    </w:p>
    <w:p w:rsidR="008051A5" w:rsidRPr="002C7403" w:rsidRDefault="008051A5" w:rsidP="008051A5">
      <w:pPr>
        <w:rPr>
          <w:rFonts w:ascii="Times New Roman" w:eastAsia="Calibri" w:hAnsi="Times New Roman" w:cs="Times New Roman"/>
          <w:sz w:val="24"/>
          <w:szCs w:val="24"/>
        </w:rPr>
      </w:pPr>
    </w:p>
    <w:p w:rsidR="008051A5" w:rsidRPr="002C7403" w:rsidRDefault="008051A5" w:rsidP="008051A5">
      <w:pPr>
        <w:rPr>
          <w:rFonts w:ascii="Times New Roman" w:eastAsia="Calibri" w:hAnsi="Times New Roman" w:cs="Times New Roman"/>
          <w:sz w:val="24"/>
          <w:szCs w:val="24"/>
        </w:rPr>
      </w:pPr>
      <w:r w:rsidRPr="002C7403">
        <w:rPr>
          <w:rFonts w:ascii="Times New Roman" w:hAnsi="Times New Roman" w:cs="Times New Roman"/>
          <w:sz w:val="24"/>
          <w:szCs w:val="24"/>
        </w:rPr>
        <w:t xml:space="preserve">Vastus: </w:t>
      </w:r>
      <w:r w:rsidRPr="002C7403">
        <w:rPr>
          <w:rFonts w:ascii="Times New Roman" w:eastAsia="Calibri" w:hAnsi="Times New Roman" w:cs="Times New Roman"/>
          <w:sz w:val="24"/>
          <w:szCs w:val="24"/>
        </w:rPr>
        <w:t>Korralise hindamise läbiviimise otsustab Vabariigi Valitsus keskkonnaministri ettepanekul.</w:t>
      </w:r>
    </w:p>
    <w:p w:rsidR="008051A5" w:rsidRPr="002C7403" w:rsidRDefault="008051A5" w:rsidP="008051A5">
      <w:pPr>
        <w:ind w:left="720"/>
        <w:rPr>
          <w:rFonts w:ascii="Times New Roman" w:eastAsia="Calibri" w:hAnsi="Times New Roman" w:cs="Times New Roman"/>
          <w:sz w:val="24"/>
          <w:szCs w:val="24"/>
        </w:rPr>
      </w:pPr>
    </w:p>
    <w:p w:rsidR="008051A5" w:rsidRPr="002C7403" w:rsidRDefault="008051A5" w:rsidP="008051A5">
      <w:pPr>
        <w:spacing w:after="0" w:line="240" w:lineRule="auto"/>
        <w:rPr>
          <w:rFonts w:ascii="Times New Roman" w:eastAsia="Calibri" w:hAnsi="Times New Roman" w:cs="Times New Roman"/>
          <w:bCs/>
          <w:sz w:val="24"/>
          <w:szCs w:val="24"/>
        </w:rPr>
      </w:pPr>
      <w:r w:rsidRPr="002C7403">
        <w:rPr>
          <w:rFonts w:ascii="Times New Roman" w:hAnsi="Times New Roman" w:cs="Times New Roman"/>
          <w:bCs/>
          <w:sz w:val="24"/>
          <w:szCs w:val="24"/>
        </w:rPr>
        <w:t xml:space="preserve">14. </w:t>
      </w:r>
      <w:r w:rsidRPr="002C7403">
        <w:rPr>
          <w:rFonts w:ascii="Times New Roman" w:eastAsia="Calibri" w:hAnsi="Times New Roman" w:cs="Times New Roman"/>
          <w:bCs/>
          <w:sz w:val="24"/>
          <w:szCs w:val="24"/>
        </w:rPr>
        <w:t>Mille alusel ja kes määrab katastriüksuse sihtotstarbe detailplaneeringu koostamise kohustuse korral.</w:t>
      </w:r>
    </w:p>
    <w:p w:rsidR="008051A5" w:rsidRPr="002C7403" w:rsidRDefault="008051A5" w:rsidP="008051A5">
      <w:pPr>
        <w:rPr>
          <w:rFonts w:ascii="Times New Roman" w:eastAsia="Calibri" w:hAnsi="Times New Roman" w:cs="Times New Roman"/>
          <w:sz w:val="24"/>
          <w:szCs w:val="24"/>
        </w:rPr>
      </w:pPr>
    </w:p>
    <w:p w:rsidR="008051A5" w:rsidRDefault="008051A5" w:rsidP="008051A5">
      <w:pPr>
        <w:rPr>
          <w:rFonts w:ascii="Times New Roman" w:hAnsi="Times New Roman" w:cs="Times New Roman"/>
          <w:sz w:val="24"/>
          <w:szCs w:val="24"/>
        </w:rPr>
      </w:pPr>
      <w:r w:rsidRPr="002C7403">
        <w:rPr>
          <w:rFonts w:ascii="Times New Roman" w:hAnsi="Times New Roman" w:cs="Times New Roman"/>
          <w:sz w:val="24"/>
          <w:szCs w:val="24"/>
        </w:rPr>
        <w:t xml:space="preserve">Vastus: </w:t>
      </w:r>
      <w:r w:rsidRPr="002C7403">
        <w:rPr>
          <w:rFonts w:ascii="Times New Roman" w:eastAsia="Calibri" w:hAnsi="Times New Roman" w:cs="Times New Roman"/>
          <w:sz w:val="24"/>
          <w:szCs w:val="24"/>
        </w:rPr>
        <w:t>Kehtestatud detailplaneeringu alusel kohalik omavalitsus määrab.</w:t>
      </w:r>
    </w:p>
    <w:p w:rsidR="008051A5" w:rsidRPr="008051A5" w:rsidRDefault="008051A5" w:rsidP="008051A5">
      <w:pPr>
        <w:rPr>
          <w:rFonts w:ascii="Times New Roman" w:hAnsi="Times New Roman" w:cs="Times New Roman"/>
          <w:sz w:val="24"/>
          <w:szCs w:val="24"/>
        </w:rPr>
      </w:pPr>
      <w:r>
        <w:rPr>
          <w:rFonts w:ascii="Times New Roman" w:hAnsi="Times New Roman" w:cs="Times New Roman"/>
          <w:sz w:val="24"/>
          <w:szCs w:val="24"/>
        </w:rPr>
        <w:t xml:space="preserve">15. </w:t>
      </w:r>
      <w:r w:rsidRPr="008051A5">
        <w:rPr>
          <w:rFonts w:ascii="Times New Roman" w:hAnsi="Times New Roman" w:cs="Times New Roman"/>
          <w:sz w:val="24"/>
          <w:szCs w:val="24"/>
        </w:rPr>
        <w:t>Milline on väikeehitis ehitusseaduse tähenduses?</w:t>
      </w:r>
    </w:p>
    <w:p w:rsidR="008051A5" w:rsidRPr="008051A5" w:rsidRDefault="008051A5" w:rsidP="008051A5">
      <w:pPr>
        <w:rPr>
          <w:rStyle w:val="tekst4"/>
          <w:rFonts w:ascii="Times New Roman" w:hAnsi="Times New Roman" w:cs="Times New Roman"/>
          <w:color w:val="595959"/>
          <w:sz w:val="24"/>
          <w:szCs w:val="24"/>
          <w:lang w:val="fi-FI"/>
        </w:rPr>
      </w:pPr>
      <w:r>
        <w:rPr>
          <w:rStyle w:val="tekst4"/>
          <w:rFonts w:ascii="Times New Roman" w:hAnsi="Times New Roman" w:cs="Times New Roman"/>
          <w:color w:val="595959"/>
          <w:sz w:val="24"/>
          <w:szCs w:val="24"/>
          <w:lang w:val="fi-FI"/>
        </w:rPr>
        <w:t xml:space="preserve">Vastus: </w:t>
      </w:r>
      <w:proofErr w:type="spellStart"/>
      <w:r w:rsidRPr="008051A5">
        <w:rPr>
          <w:rStyle w:val="tekst4"/>
          <w:rFonts w:ascii="Times New Roman" w:hAnsi="Times New Roman" w:cs="Times New Roman"/>
          <w:color w:val="595959"/>
          <w:sz w:val="24"/>
          <w:szCs w:val="24"/>
          <w:lang w:val="fi-FI"/>
        </w:rPr>
        <w:t>Väikeehitis</w:t>
      </w:r>
      <w:proofErr w:type="spellEnd"/>
      <w:r w:rsidRPr="008051A5">
        <w:rPr>
          <w:rStyle w:val="tekst4"/>
          <w:rFonts w:ascii="Times New Roman" w:hAnsi="Times New Roman" w:cs="Times New Roman"/>
          <w:color w:val="595959"/>
          <w:sz w:val="24"/>
          <w:szCs w:val="24"/>
          <w:lang w:val="fi-FI"/>
        </w:rPr>
        <w:t xml:space="preserve"> on </w:t>
      </w:r>
      <w:proofErr w:type="spellStart"/>
      <w:r w:rsidRPr="008051A5">
        <w:rPr>
          <w:rStyle w:val="tekst4"/>
          <w:rFonts w:ascii="Times New Roman" w:hAnsi="Times New Roman" w:cs="Times New Roman"/>
          <w:color w:val="595959"/>
          <w:sz w:val="24"/>
          <w:szCs w:val="24"/>
          <w:lang w:val="fi-FI"/>
        </w:rPr>
        <w:t>kuni</w:t>
      </w:r>
      <w:proofErr w:type="spellEnd"/>
      <w:r w:rsidRPr="008051A5">
        <w:rPr>
          <w:rStyle w:val="tekst4"/>
          <w:rFonts w:ascii="Times New Roman" w:hAnsi="Times New Roman" w:cs="Times New Roman"/>
          <w:color w:val="595959"/>
          <w:sz w:val="24"/>
          <w:szCs w:val="24"/>
          <w:lang w:val="fi-FI"/>
        </w:rPr>
        <w:t xml:space="preserve"> 60 m</w:t>
      </w:r>
      <w:r w:rsidRPr="008051A5">
        <w:rPr>
          <w:rStyle w:val="tekst4"/>
          <w:rFonts w:ascii="Times New Roman" w:hAnsi="Times New Roman" w:cs="Times New Roman"/>
          <w:color w:val="595959"/>
          <w:sz w:val="24"/>
          <w:szCs w:val="24"/>
          <w:vertAlign w:val="superscript"/>
          <w:lang w:val="fi-FI"/>
        </w:rPr>
        <w:t>2</w:t>
      </w:r>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ehitisealuse</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pinnaga</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ühel</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kinnistul</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asuv</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ehitis</w:t>
      </w:r>
      <w:proofErr w:type="spellEnd"/>
      <w:r w:rsidRPr="008051A5">
        <w:rPr>
          <w:rStyle w:val="tekst4"/>
          <w:rFonts w:ascii="Times New Roman" w:hAnsi="Times New Roman" w:cs="Times New Roman"/>
          <w:color w:val="595959"/>
          <w:sz w:val="24"/>
          <w:szCs w:val="24"/>
          <w:lang w:val="fi-FI"/>
        </w:rPr>
        <w:t xml:space="preserve">, mille </w:t>
      </w:r>
      <w:proofErr w:type="spellStart"/>
      <w:r w:rsidRPr="008051A5">
        <w:rPr>
          <w:rStyle w:val="tekst4"/>
          <w:rFonts w:ascii="Times New Roman" w:hAnsi="Times New Roman" w:cs="Times New Roman"/>
          <w:color w:val="595959"/>
          <w:sz w:val="24"/>
          <w:szCs w:val="24"/>
          <w:lang w:val="fi-FI"/>
        </w:rPr>
        <w:t>projekteeritud</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kõrgus</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maapinnast</w:t>
      </w:r>
      <w:proofErr w:type="spellEnd"/>
      <w:r w:rsidRPr="008051A5">
        <w:rPr>
          <w:rStyle w:val="tekst4"/>
          <w:rFonts w:ascii="Times New Roman" w:hAnsi="Times New Roman" w:cs="Times New Roman"/>
          <w:color w:val="595959"/>
          <w:sz w:val="24"/>
          <w:szCs w:val="24"/>
          <w:lang w:val="fi-FI"/>
        </w:rPr>
        <w:t xml:space="preserve"> on </w:t>
      </w:r>
      <w:proofErr w:type="spellStart"/>
      <w:r w:rsidRPr="008051A5">
        <w:rPr>
          <w:rStyle w:val="tekst4"/>
          <w:rFonts w:ascii="Times New Roman" w:hAnsi="Times New Roman" w:cs="Times New Roman"/>
          <w:color w:val="595959"/>
          <w:sz w:val="24"/>
          <w:szCs w:val="24"/>
          <w:lang w:val="fi-FI"/>
        </w:rPr>
        <w:t>kuni</w:t>
      </w:r>
      <w:proofErr w:type="spellEnd"/>
      <w:r w:rsidRPr="008051A5">
        <w:rPr>
          <w:rStyle w:val="tekst4"/>
          <w:rFonts w:ascii="Times New Roman" w:hAnsi="Times New Roman" w:cs="Times New Roman"/>
          <w:color w:val="595959"/>
          <w:sz w:val="24"/>
          <w:szCs w:val="24"/>
          <w:lang w:val="fi-FI"/>
        </w:rPr>
        <w:t xml:space="preserve"> viis </w:t>
      </w:r>
      <w:proofErr w:type="spellStart"/>
      <w:r w:rsidRPr="008051A5">
        <w:rPr>
          <w:rStyle w:val="tekst4"/>
          <w:rFonts w:ascii="Times New Roman" w:hAnsi="Times New Roman" w:cs="Times New Roman"/>
          <w:color w:val="595959"/>
          <w:sz w:val="24"/>
          <w:szCs w:val="24"/>
          <w:lang w:val="fi-FI"/>
        </w:rPr>
        <w:t>meetrit</w:t>
      </w:r>
      <w:proofErr w:type="spellEnd"/>
      <w:r w:rsidRPr="008051A5">
        <w:rPr>
          <w:rStyle w:val="tekst4"/>
          <w:rFonts w:ascii="Times New Roman" w:hAnsi="Times New Roman" w:cs="Times New Roman"/>
          <w:color w:val="595959"/>
          <w:sz w:val="24"/>
          <w:szCs w:val="24"/>
          <w:lang w:val="fi-FI"/>
        </w:rPr>
        <w:t xml:space="preserve"> ja </w:t>
      </w:r>
      <w:proofErr w:type="spellStart"/>
      <w:r w:rsidRPr="008051A5">
        <w:rPr>
          <w:rStyle w:val="tekst4"/>
          <w:rFonts w:ascii="Times New Roman" w:hAnsi="Times New Roman" w:cs="Times New Roman"/>
          <w:color w:val="595959"/>
          <w:sz w:val="24"/>
          <w:szCs w:val="24"/>
          <w:lang w:val="fi-FI"/>
        </w:rPr>
        <w:t>millel</w:t>
      </w:r>
      <w:proofErr w:type="spellEnd"/>
      <w:r w:rsidRPr="008051A5">
        <w:rPr>
          <w:rStyle w:val="tekst4"/>
          <w:rFonts w:ascii="Times New Roman" w:hAnsi="Times New Roman" w:cs="Times New Roman"/>
          <w:color w:val="595959"/>
          <w:sz w:val="24"/>
          <w:szCs w:val="24"/>
          <w:lang w:val="fi-FI"/>
        </w:rPr>
        <w:t xml:space="preserve"> ei ole </w:t>
      </w:r>
      <w:proofErr w:type="spellStart"/>
      <w:r w:rsidRPr="008051A5">
        <w:rPr>
          <w:rStyle w:val="tekst4"/>
          <w:rFonts w:ascii="Times New Roman" w:hAnsi="Times New Roman" w:cs="Times New Roman"/>
          <w:color w:val="595959"/>
          <w:sz w:val="24"/>
          <w:szCs w:val="24"/>
          <w:lang w:val="fi-FI"/>
        </w:rPr>
        <w:t>avalikkusele</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suunatud</w:t>
      </w:r>
      <w:proofErr w:type="spellEnd"/>
      <w:r w:rsidRPr="008051A5">
        <w:rPr>
          <w:rStyle w:val="tekst4"/>
          <w:rFonts w:ascii="Times New Roman" w:hAnsi="Times New Roman" w:cs="Times New Roman"/>
          <w:color w:val="595959"/>
          <w:sz w:val="24"/>
          <w:szCs w:val="24"/>
          <w:lang w:val="fi-FI"/>
        </w:rPr>
        <w:t xml:space="preserve"> </w:t>
      </w:r>
      <w:proofErr w:type="spellStart"/>
      <w:r w:rsidRPr="008051A5">
        <w:rPr>
          <w:rStyle w:val="tekst4"/>
          <w:rFonts w:ascii="Times New Roman" w:hAnsi="Times New Roman" w:cs="Times New Roman"/>
          <w:color w:val="595959"/>
          <w:sz w:val="24"/>
          <w:szCs w:val="24"/>
          <w:lang w:val="fi-FI"/>
        </w:rPr>
        <w:t>funktsioone</w:t>
      </w:r>
      <w:proofErr w:type="spellEnd"/>
    </w:p>
    <w:p w:rsidR="008051A5" w:rsidRPr="008051A5" w:rsidRDefault="008051A5" w:rsidP="008051A5">
      <w:pPr>
        <w:rPr>
          <w:rFonts w:ascii="Times New Roman" w:hAnsi="Times New Roman" w:cs="Times New Roman"/>
          <w:sz w:val="24"/>
          <w:szCs w:val="24"/>
        </w:rPr>
      </w:pPr>
    </w:p>
    <w:p w:rsidR="008051A5" w:rsidRPr="00EE259C" w:rsidRDefault="008051A5" w:rsidP="00EE259C">
      <w:pPr>
        <w:autoSpaceDE w:val="0"/>
        <w:autoSpaceDN w:val="0"/>
        <w:adjustRightInd w:val="0"/>
        <w:spacing w:after="0"/>
        <w:jc w:val="both"/>
        <w:rPr>
          <w:rFonts w:ascii="Times New Roman" w:hAnsi="Times New Roman" w:cs="Times New Roman"/>
          <w:sz w:val="24"/>
          <w:szCs w:val="24"/>
        </w:rPr>
      </w:pPr>
    </w:p>
    <w:p w:rsidR="00EE259C" w:rsidRPr="00EE259C" w:rsidRDefault="00EE259C" w:rsidP="00AD68AE">
      <w:pPr>
        <w:spacing w:after="0"/>
        <w:jc w:val="both"/>
        <w:rPr>
          <w:rFonts w:ascii="Times New Roman" w:hAnsi="Times New Roman" w:cs="Times New Roman"/>
          <w:sz w:val="24"/>
          <w:szCs w:val="24"/>
        </w:rPr>
      </w:pPr>
    </w:p>
    <w:p w:rsidR="00AD68AE" w:rsidRPr="00EE259C" w:rsidRDefault="00AD68AE" w:rsidP="00774540">
      <w:pPr>
        <w:jc w:val="both"/>
        <w:rPr>
          <w:rFonts w:ascii="Times New Roman" w:hAnsi="Times New Roman" w:cs="Times New Roman"/>
          <w:sz w:val="24"/>
          <w:szCs w:val="24"/>
        </w:rPr>
      </w:pPr>
    </w:p>
    <w:p w:rsidR="00774540" w:rsidRPr="00EE259C" w:rsidRDefault="00774540" w:rsidP="0092051C">
      <w:pPr>
        <w:jc w:val="both"/>
        <w:rPr>
          <w:rFonts w:ascii="Times New Roman" w:hAnsi="Times New Roman" w:cs="Times New Roman"/>
          <w:sz w:val="24"/>
          <w:szCs w:val="24"/>
        </w:rPr>
      </w:pPr>
    </w:p>
    <w:p w:rsidR="0092051C" w:rsidRPr="00DF5F7A" w:rsidRDefault="0092051C" w:rsidP="0092051C">
      <w:pPr>
        <w:ind w:left="720"/>
        <w:jc w:val="both"/>
        <w:rPr>
          <w:rFonts w:ascii="Book Antiqua" w:hAnsi="Book Antiqua"/>
        </w:rPr>
      </w:pPr>
    </w:p>
    <w:p w:rsidR="008E35E2" w:rsidRDefault="008E35E2"/>
    <w:sectPr w:rsidR="008E35E2" w:rsidSect="00C649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10" w:rsidRDefault="003F7710" w:rsidP="003F7710">
      <w:pPr>
        <w:spacing w:after="0" w:line="240" w:lineRule="auto"/>
      </w:pPr>
      <w:r>
        <w:separator/>
      </w:r>
    </w:p>
  </w:endnote>
  <w:endnote w:type="continuationSeparator" w:id="0">
    <w:p w:rsidR="003F7710" w:rsidRDefault="003F7710" w:rsidP="003F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10" w:rsidRDefault="003F7710" w:rsidP="003F7710">
      <w:pPr>
        <w:spacing w:after="0" w:line="240" w:lineRule="auto"/>
      </w:pPr>
      <w:r>
        <w:separator/>
      </w:r>
    </w:p>
  </w:footnote>
  <w:footnote w:type="continuationSeparator" w:id="0">
    <w:p w:rsidR="003F7710" w:rsidRDefault="003F7710" w:rsidP="003F7710">
      <w:pPr>
        <w:spacing w:after="0" w:line="240" w:lineRule="auto"/>
      </w:pPr>
      <w:r>
        <w:continuationSeparator/>
      </w:r>
    </w:p>
  </w:footnote>
  <w:footnote w:id="1">
    <w:p w:rsidR="003F7710" w:rsidRPr="00A07B9B" w:rsidRDefault="003F7710" w:rsidP="003F7710">
      <w:pPr>
        <w:pStyle w:val="FootnoteText"/>
        <w:rPr>
          <w:rFonts w:asciiTheme="minorHAnsi" w:hAnsiTheme="minorHAnsi" w:cstheme="minorHAnsi"/>
          <w:sz w:val="18"/>
          <w:szCs w:val="18"/>
        </w:rPr>
      </w:pPr>
      <w:r w:rsidRPr="00A07B9B">
        <w:rPr>
          <w:rStyle w:val="FootnoteReference"/>
          <w:rFonts w:asciiTheme="minorHAnsi" w:hAnsiTheme="minorHAnsi" w:cstheme="minorHAnsi"/>
          <w:sz w:val="18"/>
          <w:szCs w:val="18"/>
        </w:rPr>
        <w:footnoteRef/>
      </w:r>
      <w:r w:rsidRPr="00A07B9B">
        <w:rPr>
          <w:rFonts w:asciiTheme="minorHAnsi" w:hAnsiTheme="minorHAnsi" w:cstheme="minorHAnsi"/>
          <w:sz w:val="18"/>
          <w:szCs w:val="18"/>
        </w:rPr>
        <w:t xml:space="preserve"> </w:t>
      </w:r>
      <w:proofErr w:type="gramStart"/>
      <w:r w:rsidRPr="00A07B9B">
        <w:rPr>
          <w:rFonts w:asciiTheme="minorHAnsi" w:hAnsiTheme="minorHAnsi" w:cstheme="minorHAnsi"/>
          <w:sz w:val="18"/>
          <w:szCs w:val="18"/>
        </w:rPr>
        <w:t>Kuna N-</w:t>
      </w:r>
      <w:proofErr w:type="spellStart"/>
      <w:r w:rsidRPr="00A07B9B">
        <w:rPr>
          <w:rFonts w:asciiTheme="minorHAnsi" w:hAnsiTheme="minorHAnsi" w:cstheme="minorHAnsi"/>
          <w:sz w:val="18"/>
          <w:szCs w:val="18"/>
        </w:rPr>
        <w:t>nda</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aasta</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kumulatiivne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rahavoog</w:t>
      </w:r>
      <w:proofErr w:type="spellEnd"/>
      <w:r w:rsidRPr="00A07B9B">
        <w:rPr>
          <w:rFonts w:asciiTheme="minorHAnsi" w:hAnsiTheme="minorHAnsi" w:cstheme="minorHAnsi"/>
          <w:sz w:val="18"/>
          <w:szCs w:val="18"/>
        </w:rPr>
        <w:t xml:space="preserve"> on </w:t>
      </w:r>
      <w:proofErr w:type="spellStart"/>
      <w:r w:rsidRPr="00A07B9B">
        <w:rPr>
          <w:rFonts w:asciiTheme="minorHAnsi" w:hAnsiTheme="minorHAnsi" w:cstheme="minorHAnsi"/>
          <w:sz w:val="18"/>
          <w:szCs w:val="18"/>
        </w:rPr>
        <w:t>negatiivne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siis</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tasuvusaja</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murdosa</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korrektseks</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arvutamiseks</w:t>
      </w:r>
      <w:proofErr w:type="spellEnd"/>
      <w:r w:rsidRPr="00A07B9B">
        <w:rPr>
          <w:rFonts w:asciiTheme="minorHAnsi" w:hAnsiTheme="minorHAnsi" w:cstheme="minorHAnsi"/>
          <w:sz w:val="18"/>
          <w:szCs w:val="18"/>
        </w:rPr>
        <w:t xml:space="preserve"> on </w:t>
      </w:r>
      <w:proofErr w:type="spellStart"/>
      <w:r w:rsidRPr="00A07B9B">
        <w:rPr>
          <w:rFonts w:asciiTheme="minorHAnsi" w:hAnsiTheme="minorHAnsi" w:cstheme="minorHAnsi"/>
          <w:sz w:val="18"/>
          <w:szCs w:val="18"/>
        </w:rPr>
        <w:t>tarvilik</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abosluutsulgude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kasu</w:t>
      </w:r>
      <w:r>
        <w:rPr>
          <w:rFonts w:asciiTheme="minorHAnsi" w:hAnsiTheme="minorHAnsi" w:cstheme="minorHAnsi"/>
          <w:sz w:val="18"/>
          <w:szCs w:val="18"/>
        </w:rPr>
        <w:softHyphen/>
      </w:r>
      <w:r w:rsidRPr="00A07B9B">
        <w:rPr>
          <w:rFonts w:asciiTheme="minorHAnsi" w:hAnsiTheme="minorHAnsi" w:cstheme="minorHAnsi"/>
          <w:sz w:val="18"/>
          <w:szCs w:val="18"/>
        </w:rPr>
        <w:t>ta</w:t>
      </w:r>
      <w:r>
        <w:rPr>
          <w:rFonts w:asciiTheme="minorHAnsi" w:hAnsiTheme="minorHAnsi" w:cstheme="minorHAnsi"/>
          <w:sz w:val="18"/>
          <w:szCs w:val="18"/>
        </w:rPr>
        <w:softHyphen/>
      </w:r>
      <w:r w:rsidRPr="00A07B9B">
        <w:rPr>
          <w:rFonts w:asciiTheme="minorHAnsi" w:hAnsiTheme="minorHAnsi" w:cstheme="minorHAnsi"/>
          <w:sz w:val="18"/>
          <w:szCs w:val="18"/>
        </w:rPr>
        <w:t>mi</w:t>
      </w:r>
      <w:r>
        <w:rPr>
          <w:rFonts w:asciiTheme="minorHAnsi" w:hAnsiTheme="minorHAnsi" w:cstheme="minorHAnsi"/>
          <w:sz w:val="18"/>
          <w:szCs w:val="18"/>
        </w:rPr>
        <w:softHyphen/>
      </w:r>
      <w:r w:rsidRPr="00A07B9B">
        <w:rPr>
          <w:rFonts w:asciiTheme="minorHAnsi" w:hAnsiTheme="minorHAnsi" w:cstheme="minorHAnsi"/>
          <w:sz w:val="18"/>
          <w:szCs w:val="18"/>
        </w:rPr>
        <w:t>ne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vastasel</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korral</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toimub</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murdosa</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lahutamine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mitte</w:t>
      </w:r>
      <w:proofErr w:type="spellEnd"/>
      <w:r w:rsidRPr="00A07B9B">
        <w:rPr>
          <w:rFonts w:asciiTheme="minorHAnsi" w:hAnsiTheme="minorHAnsi" w:cstheme="minorHAnsi"/>
          <w:sz w:val="18"/>
          <w:szCs w:val="18"/>
        </w:rPr>
        <w:t xml:space="preserve"> </w:t>
      </w:r>
      <w:proofErr w:type="spellStart"/>
      <w:r w:rsidRPr="00A07B9B">
        <w:rPr>
          <w:rFonts w:asciiTheme="minorHAnsi" w:hAnsiTheme="minorHAnsi" w:cstheme="minorHAnsi"/>
          <w:sz w:val="18"/>
          <w:szCs w:val="18"/>
        </w:rPr>
        <w:t>liitmine</w:t>
      </w:r>
      <w:proofErr w:type="spellEnd"/>
      <w:r w:rsidRPr="00A07B9B">
        <w:rPr>
          <w:rFonts w:asciiTheme="minorHAnsi" w:hAnsiTheme="minorHAnsi" w:cstheme="minorHAns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4B0"/>
    <w:multiLevelType w:val="hybridMultilevel"/>
    <w:tmpl w:val="EE9EE5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EED33A1"/>
    <w:multiLevelType w:val="hybridMultilevel"/>
    <w:tmpl w:val="5942C03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21C71539"/>
    <w:multiLevelType w:val="hybridMultilevel"/>
    <w:tmpl w:val="D646D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7E437CA"/>
    <w:multiLevelType w:val="hybridMultilevel"/>
    <w:tmpl w:val="EE9EE5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97347C5"/>
    <w:multiLevelType w:val="hybridMultilevel"/>
    <w:tmpl w:val="9146D4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DDD7AC1"/>
    <w:multiLevelType w:val="hybridMultilevel"/>
    <w:tmpl w:val="37B21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5E2"/>
    <w:rsid w:val="001968AE"/>
    <w:rsid w:val="003F7710"/>
    <w:rsid w:val="005B0A08"/>
    <w:rsid w:val="00774540"/>
    <w:rsid w:val="008051A5"/>
    <w:rsid w:val="008E35E2"/>
    <w:rsid w:val="0092051C"/>
    <w:rsid w:val="00AD68AE"/>
    <w:rsid w:val="00B7444D"/>
    <w:rsid w:val="00C6495C"/>
    <w:rsid w:val="00EE25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4540"/>
    <w:pPr>
      <w:ind w:left="720"/>
      <w:contextualSpacing/>
    </w:pPr>
    <w:rPr>
      <w:rFonts w:ascii="Calibri" w:eastAsia="Calibri" w:hAnsi="Calibri" w:cs="Times New Roman"/>
    </w:rPr>
  </w:style>
  <w:style w:type="paragraph" w:styleId="ListBullet2">
    <w:name w:val="List Bullet 2"/>
    <w:basedOn w:val="Normal"/>
    <w:autoRedefine/>
    <w:rsid w:val="00AD68AE"/>
    <w:pPr>
      <w:spacing w:after="0" w:line="240" w:lineRule="auto"/>
      <w:jc w:val="both"/>
    </w:pPr>
    <w:rPr>
      <w:rFonts w:ascii="Arial" w:eastAsia="MS Mincho" w:hAnsi="Arial" w:cs="Arial"/>
      <w:sz w:val="20"/>
      <w:szCs w:val="20"/>
      <w:lang w:eastAsia="ja-JP"/>
    </w:rPr>
  </w:style>
  <w:style w:type="paragraph" w:styleId="CommentText">
    <w:name w:val="annotation text"/>
    <w:basedOn w:val="Normal"/>
    <w:link w:val="CommentTextChar"/>
    <w:semiHidden/>
    <w:rsid w:val="00AD68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D68A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E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9C"/>
    <w:rPr>
      <w:rFonts w:ascii="Tahoma" w:hAnsi="Tahoma" w:cs="Tahoma"/>
      <w:sz w:val="16"/>
      <w:szCs w:val="16"/>
    </w:rPr>
  </w:style>
  <w:style w:type="paragraph" w:customStyle="1" w:styleId="lqiktavaline">
    <w:name w:val="lqik (tavaline)"/>
    <w:rsid w:val="00EE259C"/>
    <w:pPr>
      <w:spacing w:before="120" w:after="0" w:line="240" w:lineRule="auto"/>
      <w:jc w:val="both"/>
    </w:pPr>
    <w:rPr>
      <w:rFonts w:ascii="Times New Roman" w:eastAsia="Times New Roman" w:hAnsi="Times New Roman" w:cs="Times New Roman"/>
      <w:noProof/>
      <w:sz w:val="23"/>
      <w:szCs w:val="20"/>
      <w:lang w:val="en-GB"/>
    </w:rPr>
  </w:style>
  <w:style w:type="character" w:customStyle="1" w:styleId="tekst4">
    <w:name w:val="tekst4"/>
    <w:basedOn w:val="DefaultParagraphFont"/>
    <w:rsid w:val="008051A5"/>
  </w:style>
  <w:style w:type="paragraph" w:styleId="FootnoteText">
    <w:name w:val="footnote text"/>
    <w:basedOn w:val="Normal"/>
    <w:link w:val="FootnoteTextChar"/>
    <w:semiHidden/>
    <w:rsid w:val="003F7710"/>
    <w:pPr>
      <w:spacing w:after="0" w:line="240" w:lineRule="auto"/>
      <w:jc w:val="both"/>
    </w:pPr>
    <w:rPr>
      <w:rFonts w:ascii="Times New Roman" w:eastAsia="Times New Roman" w:hAnsi="Times New Roman" w:cs="Times New Roman"/>
      <w:sz w:val="20"/>
      <w:szCs w:val="20"/>
      <w:lang w:val="en-US" w:eastAsia="et-EE"/>
    </w:rPr>
  </w:style>
  <w:style w:type="character" w:customStyle="1" w:styleId="FootnoteTextChar">
    <w:name w:val="Footnote Text Char"/>
    <w:basedOn w:val="DefaultParagraphFont"/>
    <w:link w:val="FootnoteText"/>
    <w:semiHidden/>
    <w:rsid w:val="003F7710"/>
    <w:rPr>
      <w:rFonts w:ascii="Times New Roman" w:eastAsia="Times New Roman" w:hAnsi="Times New Roman" w:cs="Times New Roman"/>
      <w:sz w:val="20"/>
      <w:szCs w:val="20"/>
      <w:lang w:val="en-US" w:eastAsia="et-EE"/>
    </w:rPr>
  </w:style>
  <w:style w:type="character" w:styleId="FootnoteReference">
    <w:name w:val="footnote reference"/>
    <w:basedOn w:val="DefaultParagraphFont"/>
    <w:semiHidden/>
    <w:rsid w:val="003F77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10" Type="http://schemas.openxmlformats.org/officeDocument/2006/relationships/image" Target="media/image3.e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Tallinna Tehnikaülikool</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kasutaja</cp:lastModifiedBy>
  <cp:revision>9</cp:revision>
  <dcterms:created xsi:type="dcterms:W3CDTF">2010-11-16T17:03:00Z</dcterms:created>
  <dcterms:modified xsi:type="dcterms:W3CDTF">2010-11-24T10:50:00Z</dcterms:modified>
</cp:coreProperties>
</file>