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F3" w:rsidRPr="00621936" w:rsidRDefault="00D11410">
      <w:pPr>
        <w:rPr>
          <w:rFonts w:ascii="Times New Roman" w:hAnsi="Times New Roman" w:cs="Times New Roman"/>
          <w:b/>
          <w:sz w:val="24"/>
          <w:szCs w:val="24"/>
        </w:rPr>
      </w:pPr>
      <w:r w:rsidRPr="00621936">
        <w:rPr>
          <w:rFonts w:ascii="Times New Roman" w:hAnsi="Times New Roman" w:cs="Times New Roman"/>
          <w:b/>
          <w:sz w:val="24"/>
          <w:szCs w:val="24"/>
        </w:rPr>
        <w:t>Vara</w:t>
      </w:r>
      <w:r w:rsidR="0047250F" w:rsidRPr="00621936">
        <w:rPr>
          <w:rFonts w:ascii="Times New Roman" w:hAnsi="Times New Roman" w:cs="Times New Roman"/>
          <w:b/>
          <w:sz w:val="24"/>
          <w:szCs w:val="24"/>
        </w:rPr>
        <w:t xml:space="preserve"> hindaja                                             KOOD………………………….</w:t>
      </w:r>
    </w:p>
    <w:p w:rsidR="0047250F" w:rsidRPr="00621936" w:rsidRDefault="0047250F">
      <w:pPr>
        <w:rPr>
          <w:rFonts w:ascii="Times New Roman" w:hAnsi="Times New Roman" w:cs="Times New Roman"/>
          <w:b/>
          <w:sz w:val="24"/>
          <w:szCs w:val="24"/>
        </w:rPr>
      </w:pPr>
      <w:r w:rsidRPr="00621936">
        <w:rPr>
          <w:rFonts w:ascii="Times New Roman" w:hAnsi="Times New Roman" w:cs="Times New Roman"/>
          <w:b/>
          <w:sz w:val="24"/>
          <w:szCs w:val="24"/>
        </w:rPr>
        <w:t>Teoreetiline osa</w:t>
      </w:r>
    </w:p>
    <w:p w:rsidR="005D6D4B" w:rsidRPr="006B6704" w:rsidRDefault="006B6704" w:rsidP="006B6704">
      <w:pPr>
        <w:shd w:val="clear" w:color="auto" w:fill="FFFFFF"/>
        <w:spacing w:after="0" w:line="240" w:lineRule="auto"/>
        <w:jc w:val="both"/>
        <w:rPr>
          <w:rFonts w:ascii="Times New Roman" w:eastAsia="Arial Unicode MS" w:hAnsi="Times New Roman" w:cs="Times New Roman"/>
          <w:sz w:val="24"/>
          <w:szCs w:val="24"/>
        </w:rPr>
      </w:pPr>
      <w:r w:rsidRPr="006B6704">
        <w:rPr>
          <w:rFonts w:ascii="Times New Roman" w:eastAsia="Arial Unicode MS" w:hAnsi="Times New Roman" w:cs="Times New Roman"/>
          <w:sz w:val="24"/>
          <w:szCs w:val="24"/>
        </w:rPr>
        <w:t xml:space="preserve">1. </w:t>
      </w:r>
      <w:r w:rsidR="005D6D4B" w:rsidRPr="006B6704">
        <w:rPr>
          <w:rFonts w:ascii="Times New Roman" w:eastAsia="Arial Unicode MS" w:hAnsi="Times New Roman" w:cs="Times New Roman"/>
          <w:sz w:val="24"/>
          <w:szCs w:val="24"/>
        </w:rPr>
        <w:t>Mis on projekteerimine</w:t>
      </w:r>
    </w:p>
    <w:p w:rsidR="005D6D4B" w:rsidRPr="005D6D4B" w:rsidRDefault="006B6704" w:rsidP="006B6704">
      <w:pPr>
        <w:shd w:val="clear" w:color="auto" w:fill="FFFFFF"/>
        <w:spacing w:after="0" w:line="240" w:lineRule="auto"/>
        <w:rPr>
          <w:rFonts w:ascii="Times New Roman" w:eastAsia="Arial Unicode MS" w:hAnsi="Times New Roman" w:cs="Times New Roman"/>
          <w:color w:val="000000"/>
          <w:sz w:val="24"/>
          <w:szCs w:val="24"/>
        </w:rPr>
      </w:pPr>
      <w:r w:rsidRPr="006B6704">
        <w:rPr>
          <w:rFonts w:ascii="Times New Roman" w:eastAsia="Arial Unicode MS" w:hAnsi="Times New Roman" w:cs="Times New Roman"/>
          <w:b/>
          <w:color w:val="000000"/>
          <w:sz w:val="24"/>
          <w:szCs w:val="24"/>
        </w:rPr>
        <w:t>Vastus:</w:t>
      </w:r>
      <w:r>
        <w:rPr>
          <w:rFonts w:ascii="Times New Roman" w:eastAsia="Arial Unicode MS" w:hAnsi="Times New Roman" w:cs="Times New Roman"/>
          <w:color w:val="000000"/>
          <w:sz w:val="24"/>
          <w:szCs w:val="24"/>
        </w:rPr>
        <w:t xml:space="preserve"> </w:t>
      </w:r>
      <w:r w:rsidR="005D6D4B" w:rsidRPr="005D6D4B">
        <w:rPr>
          <w:rFonts w:ascii="Times New Roman" w:eastAsia="Arial Unicode MS" w:hAnsi="Times New Roman" w:cs="Times New Roman"/>
          <w:color w:val="000000"/>
          <w:sz w:val="24"/>
          <w:szCs w:val="24"/>
        </w:rPr>
        <w:t>Projekteerimine on:</w:t>
      </w:r>
      <w:r w:rsidR="005D6D4B" w:rsidRPr="005D6D4B">
        <w:rPr>
          <w:rFonts w:ascii="Times New Roman" w:eastAsia="Arial Unicode MS" w:hAnsi="Times New Roman" w:cs="Times New Roman"/>
          <w:color w:val="000000"/>
          <w:sz w:val="24"/>
          <w:szCs w:val="24"/>
        </w:rPr>
        <w:br/>
      </w:r>
      <w:bookmarkStart w:id="0" w:name="para2lg4p1"/>
      <w:r w:rsidR="005D6D4B" w:rsidRPr="005D6D4B">
        <w:rPr>
          <w:rFonts w:ascii="Times New Roman" w:eastAsia="Arial Unicode MS" w:hAnsi="Times New Roman" w:cs="Times New Roman"/>
          <w:color w:val="000000"/>
          <w:sz w:val="24"/>
          <w:szCs w:val="24"/>
        </w:rPr>
        <w:t> </w:t>
      </w:r>
      <w:bookmarkEnd w:id="0"/>
      <w:r w:rsidR="005D6D4B" w:rsidRPr="005D6D4B">
        <w:rPr>
          <w:rFonts w:ascii="Times New Roman" w:eastAsia="Arial Unicode MS" w:hAnsi="Times New Roman" w:cs="Times New Roman"/>
          <w:color w:val="000000"/>
          <w:sz w:val="24"/>
          <w:szCs w:val="24"/>
        </w:rPr>
        <w:t>1) ehitise või selle osa arhitektuurne ja ehituslik kavandamine;</w:t>
      </w:r>
      <w:r w:rsidR="005D6D4B" w:rsidRPr="005D6D4B">
        <w:rPr>
          <w:rFonts w:ascii="Times New Roman" w:eastAsia="Arial Unicode MS" w:hAnsi="Times New Roman" w:cs="Times New Roman"/>
          <w:color w:val="000000"/>
          <w:sz w:val="24"/>
          <w:szCs w:val="24"/>
        </w:rPr>
        <w:br/>
      </w:r>
      <w:bookmarkStart w:id="1" w:name="para2lg4p2"/>
      <w:r w:rsidR="005D6D4B" w:rsidRPr="005D6D4B">
        <w:rPr>
          <w:rFonts w:ascii="Times New Roman" w:eastAsia="Arial Unicode MS" w:hAnsi="Times New Roman" w:cs="Times New Roman"/>
          <w:color w:val="000000"/>
          <w:sz w:val="24"/>
          <w:szCs w:val="24"/>
        </w:rPr>
        <w:t> </w:t>
      </w:r>
      <w:bookmarkEnd w:id="1"/>
      <w:r w:rsidR="005D6D4B" w:rsidRPr="005D6D4B">
        <w:rPr>
          <w:rFonts w:ascii="Times New Roman" w:eastAsia="Arial Unicode MS" w:hAnsi="Times New Roman" w:cs="Times New Roman"/>
          <w:color w:val="000000"/>
          <w:sz w:val="24"/>
          <w:szCs w:val="24"/>
        </w:rPr>
        <w:t>2) ehitise tehnosüsteemide kavandamine;</w:t>
      </w:r>
      <w:r w:rsidR="005D6D4B" w:rsidRPr="005D6D4B">
        <w:rPr>
          <w:rFonts w:ascii="Times New Roman" w:eastAsia="Arial Unicode MS" w:hAnsi="Times New Roman" w:cs="Times New Roman"/>
          <w:color w:val="000000"/>
          <w:sz w:val="24"/>
          <w:szCs w:val="24"/>
        </w:rPr>
        <w:br/>
      </w:r>
      <w:bookmarkStart w:id="2" w:name="para2lg4p3"/>
      <w:r w:rsidR="005D6D4B" w:rsidRPr="005D6D4B">
        <w:rPr>
          <w:rFonts w:ascii="Times New Roman" w:eastAsia="Arial Unicode MS" w:hAnsi="Times New Roman" w:cs="Times New Roman"/>
          <w:color w:val="000000"/>
          <w:sz w:val="24"/>
          <w:szCs w:val="24"/>
        </w:rPr>
        <w:t> </w:t>
      </w:r>
      <w:bookmarkEnd w:id="2"/>
      <w:r w:rsidR="005D6D4B" w:rsidRPr="005D6D4B">
        <w:rPr>
          <w:rFonts w:ascii="Times New Roman" w:eastAsia="Arial Unicode MS" w:hAnsi="Times New Roman" w:cs="Times New Roman"/>
          <w:color w:val="000000"/>
          <w:sz w:val="24"/>
          <w:szCs w:val="24"/>
        </w:rPr>
        <w:t>3) ehitises kasutatava tehnoloogia kavandamine;</w:t>
      </w:r>
      <w:r w:rsidR="005D6D4B" w:rsidRPr="005D6D4B">
        <w:rPr>
          <w:rFonts w:ascii="Times New Roman" w:eastAsia="Arial Unicode MS" w:hAnsi="Times New Roman" w:cs="Times New Roman"/>
          <w:color w:val="000000"/>
          <w:sz w:val="24"/>
          <w:szCs w:val="24"/>
        </w:rPr>
        <w:br/>
      </w:r>
      <w:bookmarkStart w:id="3" w:name="para2lg4p4"/>
      <w:r w:rsidR="005D6D4B" w:rsidRPr="005D6D4B">
        <w:rPr>
          <w:rFonts w:ascii="Times New Roman" w:eastAsia="Arial Unicode MS" w:hAnsi="Times New Roman" w:cs="Times New Roman"/>
          <w:color w:val="000000"/>
          <w:sz w:val="24"/>
          <w:szCs w:val="24"/>
        </w:rPr>
        <w:t> </w:t>
      </w:r>
      <w:bookmarkEnd w:id="3"/>
      <w:r w:rsidR="005D6D4B" w:rsidRPr="005D6D4B">
        <w:rPr>
          <w:rFonts w:ascii="Times New Roman" w:eastAsia="Arial Unicode MS" w:hAnsi="Times New Roman" w:cs="Times New Roman"/>
          <w:color w:val="000000"/>
          <w:sz w:val="24"/>
          <w:szCs w:val="24"/>
        </w:rPr>
        <w:t>4) ehitise elueast lähtuv ehitise nõuetele vastava kasutamise ja hooldamise tehnomajanduslik hindamine.</w:t>
      </w:r>
    </w:p>
    <w:p w:rsidR="005D6D4B" w:rsidRPr="005D6D4B" w:rsidRDefault="005D6D4B" w:rsidP="005D6D4B">
      <w:pPr>
        <w:shd w:val="clear" w:color="auto" w:fill="FFFFFF"/>
        <w:spacing w:after="0" w:line="240" w:lineRule="auto"/>
        <w:rPr>
          <w:rFonts w:ascii="Times New Roman" w:eastAsia="Arial Unicode MS" w:hAnsi="Times New Roman" w:cs="Times New Roman"/>
          <w:b/>
          <w:sz w:val="24"/>
          <w:szCs w:val="24"/>
        </w:rPr>
      </w:pPr>
    </w:p>
    <w:p w:rsidR="005D6D4B" w:rsidRPr="006B6704" w:rsidRDefault="006B6704" w:rsidP="006B6704">
      <w:pPr>
        <w:shd w:val="clear" w:color="auto" w:fill="FFFFFF"/>
        <w:spacing w:after="0" w:line="240" w:lineRule="auto"/>
        <w:jc w:val="both"/>
        <w:rPr>
          <w:rFonts w:ascii="Times New Roman" w:eastAsia="Arial Unicode MS" w:hAnsi="Times New Roman" w:cs="Times New Roman"/>
          <w:sz w:val="24"/>
          <w:szCs w:val="24"/>
        </w:rPr>
      </w:pPr>
      <w:r w:rsidRPr="006B6704">
        <w:rPr>
          <w:rFonts w:ascii="Times New Roman" w:eastAsia="Arial Unicode MS" w:hAnsi="Times New Roman" w:cs="Times New Roman"/>
          <w:sz w:val="24"/>
          <w:szCs w:val="24"/>
        </w:rPr>
        <w:t xml:space="preserve">2. </w:t>
      </w:r>
      <w:r w:rsidR="005D6D4B" w:rsidRPr="006B6704">
        <w:rPr>
          <w:rFonts w:ascii="Times New Roman" w:eastAsia="Arial Unicode MS" w:hAnsi="Times New Roman" w:cs="Times New Roman"/>
          <w:sz w:val="24"/>
          <w:szCs w:val="24"/>
        </w:rPr>
        <w:t>Mis on ehitise kasutusluba</w:t>
      </w:r>
    </w:p>
    <w:p w:rsidR="005D6D4B" w:rsidRPr="005D6D4B" w:rsidRDefault="006B6704" w:rsidP="006B6704">
      <w:pPr>
        <w:shd w:val="clear" w:color="auto" w:fill="FFFFFF"/>
        <w:spacing w:after="0" w:line="240" w:lineRule="auto"/>
        <w:jc w:val="both"/>
        <w:rPr>
          <w:rFonts w:ascii="Times New Roman" w:eastAsia="Arial Unicode MS" w:hAnsi="Times New Roman" w:cs="Times New Roman"/>
          <w:color w:val="000000"/>
          <w:sz w:val="24"/>
          <w:szCs w:val="24"/>
        </w:rPr>
      </w:pPr>
      <w:r w:rsidRPr="006B6704">
        <w:rPr>
          <w:rFonts w:ascii="Times New Roman" w:eastAsia="Arial Unicode MS" w:hAnsi="Times New Roman" w:cs="Times New Roman"/>
          <w:b/>
          <w:color w:val="000000"/>
          <w:sz w:val="24"/>
          <w:szCs w:val="24"/>
        </w:rPr>
        <w:t>Vastus:</w:t>
      </w:r>
      <w:r>
        <w:rPr>
          <w:rFonts w:ascii="Times New Roman" w:eastAsia="Arial Unicode MS" w:hAnsi="Times New Roman" w:cs="Times New Roman"/>
          <w:color w:val="000000"/>
          <w:sz w:val="24"/>
          <w:szCs w:val="24"/>
        </w:rPr>
        <w:t xml:space="preserve"> </w:t>
      </w:r>
      <w:r w:rsidR="005D6D4B" w:rsidRPr="005D6D4B">
        <w:rPr>
          <w:rFonts w:ascii="Times New Roman" w:eastAsia="Arial Unicode MS" w:hAnsi="Times New Roman" w:cs="Times New Roman"/>
          <w:color w:val="000000"/>
          <w:sz w:val="24"/>
          <w:szCs w:val="24"/>
        </w:rPr>
        <w:t>Ehitise kasutusluba (edaspidi </w:t>
      </w:r>
      <w:r w:rsidR="005D6D4B" w:rsidRPr="005D6D4B">
        <w:rPr>
          <w:rFonts w:ascii="Times New Roman" w:eastAsia="Arial Unicode MS" w:hAnsi="Times New Roman" w:cs="Times New Roman"/>
          <w:i/>
          <w:iCs/>
          <w:color w:val="000000"/>
          <w:sz w:val="24"/>
          <w:szCs w:val="24"/>
        </w:rPr>
        <w:t>kasutusluba</w:t>
      </w:r>
      <w:r w:rsidR="005D6D4B" w:rsidRPr="005D6D4B">
        <w:rPr>
          <w:rFonts w:ascii="Times New Roman" w:eastAsia="Arial Unicode MS" w:hAnsi="Times New Roman" w:cs="Times New Roman"/>
          <w:color w:val="000000"/>
          <w:sz w:val="24"/>
          <w:szCs w:val="24"/>
        </w:rPr>
        <w:t>) on kohaliku omavalitsuse või riigi nõusolek, et valminud ehitis või selle osa vastab ehitisele ettenähtud nõuetele ja seda võib kasutada vastavalt kavandatud kasutamise otstarbele.</w:t>
      </w:r>
    </w:p>
    <w:p w:rsidR="005D6D4B" w:rsidRPr="005D6D4B" w:rsidRDefault="005D6D4B" w:rsidP="005D6D4B">
      <w:pPr>
        <w:shd w:val="clear" w:color="auto" w:fill="FFFFFF"/>
        <w:spacing w:after="0" w:line="240" w:lineRule="auto"/>
        <w:ind w:left="720"/>
        <w:jc w:val="both"/>
        <w:rPr>
          <w:rFonts w:ascii="Times New Roman" w:eastAsia="Arial Unicode MS" w:hAnsi="Times New Roman" w:cs="Times New Roman"/>
          <w:b/>
          <w:sz w:val="24"/>
          <w:szCs w:val="24"/>
        </w:rPr>
      </w:pPr>
    </w:p>
    <w:p w:rsidR="005D6D4B" w:rsidRPr="006B6704" w:rsidRDefault="006B6704" w:rsidP="006B67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D6D4B" w:rsidRPr="006B6704">
        <w:rPr>
          <w:rFonts w:ascii="Times New Roman" w:eastAsia="Times New Roman" w:hAnsi="Times New Roman" w:cs="Times New Roman"/>
          <w:sz w:val="24"/>
          <w:szCs w:val="24"/>
        </w:rPr>
        <w:t>Millise sihtotstarbega samaaegselt ei määrata katastriüksusele elamumaa sihtotstarvet</w:t>
      </w:r>
    </w:p>
    <w:p w:rsidR="005D6D4B" w:rsidRDefault="006B6704" w:rsidP="006B6704">
      <w:pPr>
        <w:spacing w:after="0" w:line="240" w:lineRule="auto"/>
        <w:jc w:val="both"/>
        <w:rPr>
          <w:rFonts w:ascii="Times New Roman" w:eastAsia="Times New Roman" w:hAnsi="Times New Roman" w:cs="Times New Roman"/>
          <w:sz w:val="24"/>
          <w:szCs w:val="24"/>
        </w:rPr>
      </w:pPr>
      <w:r w:rsidRPr="006B6704">
        <w:rPr>
          <w:rFonts w:ascii="Times New Roman" w:eastAsia="Times New Roman" w:hAnsi="Times New Roman" w:cs="Times New Roman"/>
          <w:b/>
          <w:sz w:val="24"/>
          <w:szCs w:val="24"/>
        </w:rPr>
        <w:t>Vastus:</w:t>
      </w:r>
      <w:r>
        <w:rPr>
          <w:rFonts w:ascii="Times New Roman" w:eastAsia="Times New Roman" w:hAnsi="Times New Roman" w:cs="Times New Roman"/>
          <w:sz w:val="24"/>
          <w:szCs w:val="24"/>
        </w:rPr>
        <w:t xml:space="preserve"> </w:t>
      </w:r>
      <w:r w:rsidR="005D6D4B" w:rsidRPr="005D6D4B">
        <w:rPr>
          <w:rFonts w:ascii="Times New Roman" w:eastAsia="Times New Roman" w:hAnsi="Times New Roman" w:cs="Times New Roman"/>
          <w:sz w:val="24"/>
          <w:szCs w:val="24"/>
        </w:rPr>
        <w:t>Samaaegselt ei määrata katastriüksusele maatulundusmaa sihtotstarbega koos elamumaa sihtotstarvet.</w:t>
      </w:r>
    </w:p>
    <w:p w:rsidR="006B6704" w:rsidRDefault="006B6704" w:rsidP="006B6704">
      <w:pPr>
        <w:spacing w:after="0" w:line="240" w:lineRule="auto"/>
        <w:jc w:val="both"/>
        <w:rPr>
          <w:rFonts w:ascii="Times New Roman" w:eastAsia="Times New Roman" w:hAnsi="Times New Roman" w:cs="Times New Roman"/>
          <w:sz w:val="24"/>
          <w:szCs w:val="24"/>
        </w:rPr>
      </w:pPr>
    </w:p>
    <w:p w:rsidR="005D6D4B" w:rsidRDefault="006B6704" w:rsidP="005D6D4B">
      <w:pPr>
        <w:spacing w:after="0" w:line="240" w:lineRule="auto"/>
        <w:jc w:val="both"/>
        <w:rPr>
          <w:rFonts w:ascii="Times New Roman" w:eastAsia="MS Mincho" w:hAnsi="Times New Roman" w:cs="Times New Roman"/>
          <w:snapToGrid w:val="0"/>
          <w:sz w:val="24"/>
          <w:szCs w:val="24"/>
          <w:lang w:eastAsia="ja-JP"/>
        </w:rPr>
      </w:pPr>
      <w:r>
        <w:rPr>
          <w:rFonts w:ascii="Times New Roman" w:eastAsia="MS Mincho" w:hAnsi="Times New Roman" w:cs="Times New Roman"/>
          <w:snapToGrid w:val="0"/>
          <w:sz w:val="24"/>
          <w:szCs w:val="24"/>
          <w:lang w:eastAsia="ja-JP"/>
        </w:rPr>
        <w:t xml:space="preserve">4. </w:t>
      </w:r>
      <w:r w:rsidR="005D6D4B">
        <w:rPr>
          <w:rFonts w:ascii="Times New Roman" w:eastAsia="MS Mincho" w:hAnsi="Times New Roman" w:cs="Times New Roman"/>
          <w:snapToGrid w:val="0"/>
          <w:sz w:val="24"/>
          <w:szCs w:val="24"/>
          <w:lang w:eastAsia="ja-JP"/>
        </w:rPr>
        <w:t>Mitmel tasandil tuleb teha turuanalüüsi kinnisvara hindamisel vastavalt EVS875-10. Nimetage tasandid.</w:t>
      </w:r>
    </w:p>
    <w:p w:rsidR="005D6D4B" w:rsidRPr="00AC4C17" w:rsidRDefault="005D6D4B" w:rsidP="005D6D4B">
      <w:pPr>
        <w:pStyle w:val="Tekst"/>
        <w:tabs>
          <w:tab w:val="left" w:pos="658"/>
        </w:tabs>
        <w:rPr>
          <w:rFonts w:ascii="Times New Roman" w:hAnsi="Times New Roman" w:cs="Times New Roman"/>
          <w:sz w:val="24"/>
          <w:szCs w:val="24"/>
        </w:rPr>
      </w:pPr>
      <w:r w:rsidRPr="00AC4C17">
        <w:rPr>
          <w:rFonts w:ascii="Times New Roman" w:hAnsi="Times New Roman" w:cs="Times New Roman"/>
          <w:b/>
          <w:sz w:val="24"/>
          <w:szCs w:val="24"/>
        </w:rPr>
        <w:t>Vastus:</w:t>
      </w:r>
      <w:r>
        <w:rPr>
          <w:rFonts w:ascii="Times New Roman" w:hAnsi="Times New Roman" w:cs="Times New Roman"/>
          <w:sz w:val="24"/>
          <w:szCs w:val="24"/>
        </w:rPr>
        <w:t xml:space="preserve"> </w:t>
      </w:r>
      <w:r w:rsidRPr="00AC4C17">
        <w:rPr>
          <w:rFonts w:ascii="Times New Roman" w:hAnsi="Times New Roman" w:cs="Times New Roman"/>
          <w:sz w:val="24"/>
          <w:szCs w:val="24"/>
        </w:rPr>
        <w:t xml:space="preserve">Kinnisvara hindamisel teostatakse turuanalüüsi kahel tasandil: </w:t>
      </w:r>
    </w:p>
    <w:p w:rsidR="005D6D4B" w:rsidRPr="00AC4C17" w:rsidRDefault="005D6D4B" w:rsidP="005D6D4B">
      <w:pPr>
        <w:pStyle w:val="Loendnumber"/>
        <w:numPr>
          <w:ilvl w:val="0"/>
          <w:numId w:val="3"/>
        </w:numPr>
        <w:ind w:left="357"/>
        <w:rPr>
          <w:rFonts w:ascii="Times New Roman" w:hAnsi="Times New Roman" w:cs="Times New Roman"/>
          <w:sz w:val="24"/>
          <w:szCs w:val="24"/>
        </w:rPr>
      </w:pPr>
      <w:r w:rsidRPr="00AC4C17">
        <w:rPr>
          <w:rFonts w:ascii="Times New Roman" w:hAnsi="Times New Roman" w:cs="Times New Roman"/>
          <w:sz w:val="24"/>
          <w:szCs w:val="24"/>
        </w:rPr>
        <w:t>turuanalüüs üldises perspektiivis, mille käigus ei peeta silmas kindlat hinnatavat kinnisvara, vaid kinnisvaraturgu ja kinnisvara turusektorit üldiselt ning</w:t>
      </w:r>
    </w:p>
    <w:p w:rsidR="005D6D4B" w:rsidRDefault="005D6D4B" w:rsidP="005D6D4B">
      <w:pPr>
        <w:pStyle w:val="Loendnumber"/>
        <w:rPr>
          <w:rFonts w:ascii="Times New Roman" w:hAnsi="Times New Roman" w:cs="Times New Roman"/>
          <w:sz w:val="24"/>
          <w:szCs w:val="24"/>
        </w:rPr>
      </w:pPr>
      <w:r w:rsidRPr="00AC4C17">
        <w:rPr>
          <w:rFonts w:ascii="Times New Roman" w:hAnsi="Times New Roman" w:cs="Times New Roman"/>
          <w:sz w:val="24"/>
          <w:szCs w:val="24"/>
        </w:rPr>
        <w:t>turuanalüüs arvestades turusegmenti, milles hinnatav vara konkureerib.</w:t>
      </w:r>
    </w:p>
    <w:p w:rsidR="006B6704" w:rsidRPr="00EB34D7" w:rsidRDefault="006B6704" w:rsidP="006B6704">
      <w:pPr>
        <w:spacing w:after="0" w:line="240" w:lineRule="auto"/>
        <w:jc w:val="both"/>
        <w:rPr>
          <w:rFonts w:ascii="Times New Roman" w:eastAsia="MS Mincho" w:hAnsi="Times New Roman" w:cs="Times New Roman"/>
          <w:snapToGrid w:val="0"/>
          <w:sz w:val="24"/>
          <w:szCs w:val="24"/>
          <w:lang w:eastAsia="ja-JP"/>
        </w:rPr>
      </w:pPr>
    </w:p>
    <w:p w:rsidR="006B6704" w:rsidRDefault="006B6704" w:rsidP="006B6704">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8739ED">
        <w:rPr>
          <w:rFonts w:ascii="Times New Roman" w:hAnsi="Times New Roman" w:cs="Times New Roman"/>
          <w:sz w:val="24"/>
          <w:szCs w:val="24"/>
        </w:rPr>
        <w:t>. Tooge valem tootluse määra ja kapitalisatsioonimäära seose kohta ja selgitage valemi iga liiget.</w:t>
      </w:r>
    </w:p>
    <w:p w:rsidR="00C61548" w:rsidRPr="008739ED" w:rsidRDefault="00C61548" w:rsidP="00C61548">
      <w:pPr>
        <w:spacing w:after="0" w:line="240" w:lineRule="auto"/>
        <w:rPr>
          <w:rFonts w:ascii="Times New Roman" w:hAnsi="Times New Roman" w:cs="Times New Roman"/>
          <w:sz w:val="24"/>
          <w:szCs w:val="24"/>
        </w:rPr>
      </w:pPr>
      <w:r w:rsidRPr="008739ED">
        <w:rPr>
          <w:rFonts w:ascii="Times New Roman" w:hAnsi="Times New Roman" w:cs="Times New Roman"/>
          <w:b/>
          <w:sz w:val="24"/>
          <w:szCs w:val="24"/>
        </w:rPr>
        <w:t>Vastus:</w:t>
      </w:r>
      <w:r w:rsidRPr="008739ED">
        <w:rPr>
          <w:rFonts w:ascii="Times New Roman" w:hAnsi="Times New Roman" w:cs="Times New Roman"/>
          <w:sz w:val="24"/>
          <w:szCs w:val="24"/>
        </w:rPr>
        <w:t xml:space="preserve"> Seost tootluse määra ja kapitalisatsioonimäära vahel väljendatakse üldkujul järgmiselt:</w:t>
      </w:r>
    </w:p>
    <w:p w:rsidR="00C61548" w:rsidRPr="008739ED" w:rsidRDefault="00C61548" w:rsidP="00C61548">
      <w:pPr>
        <w:spacing w:after="0" w:line="240" w:lineRule="auto"/>
        <w:rPr>
          <w:rFonts w:ascii="Times New Roman" w:hAnsi="Times New Roman" w:cs="Times New Roman"/>
          <w:sz w:val="24"/>
          <w:szCs w:val="24"/>
        </w:rPr>
      </w:pPr>
      <w:r w:rsidRPr="008739ED">
        <w:rPr>
          <w:rFonts w:ascii="Times New Roman" w:hAnsi="Times New Roman" w:cs="Times New Roman"/>
          <w:sz w:val="24"/>
          <w:szCs w:val="24"/>
        </w:rPr>
        <w:t xml:space="preserve">       Y = R </w:t>
      </w:r>
      <m:oMath>
        <m:r>
          <w:rPr>
            <w:rFonts w:ascii="Cambria Math" w:hAnsi="Cambria Math" w:cs="Times New Roman"/>
            <w:sz w:val="24"/>
            <w:szCs w:val="24"/>
          </w:rPr>
          <m:t>±</m:t>
        </m:r>
      </m:oMath>
      <w:r w:rsidRPr="008739ED">
        <w:rPr>
          <w:rFonts w:ascii="Times New Roman" w:hAnsi="Times New Roman" w:cs="Times New Roman"/>
          <w:sz w:val="24"/>
          <w:szCs w:val="24"/>
        </w:rPr>
        <w:t xml:space="preserve"> A  ,  kus</w:t>
      </w:r>
    </w:p>
    <w:p w:rsidR="00C61548" w:rsidRPr="008739ED" w:rsidRDefault="00C61548" w:rsidP="00C61548">
      <w:pPr>
        <w:spacing w:after="0" w:line="240" w:lineRule="auto"/>
        <w:rPr>
          <w:rFonts w:ascii="Times New Roman" w:hAnsi="Times New Roman" w:cs="Times New Roman"/>
          <w:sz w:val="24"/>
          <w:szCs w:val="24"/>
        </w:rPr>
      </w:pPr>
      <w:r w:rsidRPr="008739ED">
        <w:rPr>
          <w:rFonts w:ascii="Times New Roman" w:hAnsi="Times New Roman" w:cs="Times New Roman"/>
          <w:sz w:val="24"/>
          <w:szCs w:val="24"/>
        </w:rPr>
        <w:t>Y – tootluse määr,</w:t>
      </w:r>
    </w:p>
    <w:p w:rsidR="00C61548" w:rsidRPr="008739ED" w:rsidRDefault="00C61548" w:rsidP="00C61548">
      <w:pPr>
        <w:spacing w:after="0" w:line="240" w:lineRule="auto"/>
        <w:rPr>
          <w:rFonts w:ascii="Times New Roman" w:hAnsi="Times New Roman" w:cs="Times New Roman"/>
          <w:sz w:val="24"/>
          <w:szCs w:val="24"/>
        </w:rPr>
      </w:pPr>
      <w:r w:rsidRPr="008739ED">
        <w:rPr>
          <w:rFonts w:ascii="Times New Roman" w:hAnsi="Times New Roman" w:cs="Times New Roman"/>
          <w:sz w:val="24"/>
          <w:szCs w:val="24"/>
        </w:rPr>
        <w:t>R – kapitalisatsioonimäär,</w:t>
      </w:r>
    </w:p>
    <w:p w:rsidR="00C61548" w:rsidRPr="008739ED" w:rsidRDefault="00C61548" w:rsidP="00C61548">
      <w:pPr>
        <w:spacing w:after="0" w:line="240" w:lineRule="auto"/>
        <w:rPr>
          <w:rFonts w:ascii="Times New Roman" w:hAnsi="Times New Roman" w:cs="Times New Roman"/>
          <w:sz w:val="24"/>
          <w:szCs w:val="24"/>
        </w:rPr>
      </w:pPr>
      <w:r w:rsidRPr="008739ED">
        <w:rPr>
          <w:rFonts w:ascii="Times New Roman" w:hAnsi="Times New Roman" w:cs="Times New Roman"/>
          <w:sz w:val="24"/>
          <w:szCs w:val="24"/>
        </w:rPr>
        <w:t>A</w:t>
      </w:r>
      <w:r w:rsidRPr="008739ED">
        <w:rPr>
          <w:rFonts w:ascii="Times New Roman" w:hAnsi="Times New Roman" w:cs="Times New Roman"/>
          <w:noProof/>
          <w:color w:val="000000"/>
          <w:sz w:val="24"/>
          <w:szCs w:val="24"/>
        </w:rPr>
        <w:t>–</w:t>
      </w:r>
      <w:r w:rsidRPr="008739ED">
        <w:rPr>
          <w:rFonts w:ascii="Times New Roman" w:hAnsi="Times New Roman" w:cs="Times New Roman"/>
          <w:color w:val="000000"/>
          <w:sz w:val="24"/>
          <w:szCs w:val="24"/>
        </w:rPr>
        <w:t xml:space="preserve"> </w:t>
      </w:r>
      <w:r w:rsidRPr="008739ED">
        <w:rPr>
          <w:rFonts w:ascii="Times New Roman" w:hAnsi="Times New Roman" w:cs="Times New Roman"/>
          <w:sz w:val="24"/>
          <w:szCs w:val="24"/>
        </w:rPr>
        <w:t xml:space="preserve">kohanduse määr,  mis arvestab muutust või kasvu varalt saadavalt jooksvalt tulult ja vara väärtuselt. Kohanduse määr peab olema arvestatud sama perioodi kohta, mille kohta on esitatud R (kuu, kvartal, aasta) </w:t>
      </w:r>
    </w:p>
    <w:p w:rsidR="00C61548" w:rsidRPr="008739ED" w:rsidRDefault="00C61548" w:rsidP="00C61548">
      <w:pPr>
        <w:spacing w:after="0" w:line="240" w:lineRule="auto"/>
        <w:rPr>
          <w:rFonts w:ascii="Times New Roman" w:hAnsi="Times New Roman" w:cs="Times New Roman"/>
          <w:sz w:val="24"/>
          <w:szCs w:val="24"/>
        </w:rPr>
      </w:pPr>
      <w:r w:rsidRPr="008739ED">
        <w:rPr>
          <w:rFonts w:ascii="Times New Roman" w:hAnsi="Times New Roman" w:cs="Times New Roman"/>
          <w:sz w:val="24"/>
          <w:szCs w:val="24"/>
        </w:rPr>
        <w:t>Kohanduse määr arvutatakse</w:t>
      </w:r>
    </w:p>
    <w:p w:rsidR="00C61548" w:rsidRPr="008739ED" w:rsidRDefault="00C61548" w:rsidP="00C61548">
      <w:pPr>
        <w:spacing w:after="0" w:line="240" w:lineRule="auto"/>
        <w:rPr>
          <w:rFonts w:ascii="Times New Roman" w:hAnsi="Times New Roman" w:cs="Times New Roman"/>
          <w:sz w:val="24"/>
          <w:szCs w:val="24"/>
        </w:rPr>
      </w:pPr>
      <w:r w:rsidRPr="008739ED">
        <w:rPr>
          <w:rFonts w:ascii="Times New Roman" w:hAnsi="Times New Roman" w:cs="Times New Roman"/>
          <w:sz w:val="24"/>
          <w:szCs w:val="24"/>
        </w:rPr>
        <w:t xml:space="preserve">       </w:t>
      </w:r>
      <w:r w:rsidRPr="008739ED">
        <w:rPr>
          <w:rFonts w:ascii="Times New Roman" w:hAnsi="Times New Roman" w:cs="Times New Roman"/>
          <w:sz w:val="24"/>
          <w:szCs w:val="24"/>
        </w:rPr>
        <w:tab/>
      </w:r>
      <w:r w:rsidRPr="008739ED">
        <w:rPr>
          <w:rFonts w:ascii="Times New Roman" w:hAnsi="Times New Roman" w:cs="Times New Roman"/>
          <w:sz w:val="24"/>
          <w:szCs w:val="24"/>
        </w:rPr>
        <w:tab/>
        <w:t>A= ∆  * a ,   kus</w:t>
      </w:r>
    </w:p>
    <w:p w:rsidR="00C61548" w:rsidRPr="008739ED" w:rsidRDefault="00C61548" w:rsidP="00C61548">
      <w:pPr>
        <w:spacing w:after="0" w:line="240" w:lineRule="auto"/>
        <w:rPr>
          <w:rFonts w:ascii="Times New Roman" w:hAnsi="Times New Roman" w:cs="Times New Roman"/>
          <w:sz w:val="24"/>
          <w:szCs w:val="24"/>
        </w:rPr>
      </w:pPr>
      <w:r w:rsidRPr="008739ED">
        <w:rPr>
          <w:rFonts w:ascii="Times New Roman" w:hAnsi="Times New Roman" w:cs="Times New Roman"/>
          <w:sz w:val="24"/>
          <w:szCs w:val="24"/>
        </w:rPr>
        <w:t>∆ -  varalt saadava jooksva tulu ja vara väärtuse kasvu kogumuutus hoidmis- või prognoosiperioodi jooksul;</w:t>
      </w:r>
    </w:p>
    <w:p w:rsidR="00C61548" w:rsidRPr="008739ED" w:rsidRDefault="00C61548" w:rsidP="006B6704">
      <w:pPr>
        <w:spacing w:after="0" w:line="240" w:lineRule="auto"/>
        <w:rPr>
          <w:rFonts w:ascii="Times New Roman" w:hAnsi="Times New Roman" w:cs="Times New Roman"/>
          <w:sz w:val="24"/>
          <w:szCs w:val="24"/>
        </w:rPr>
      </w:pPr>
      <w:r w:rsidRPr="008739ED">
        <w:rPr>
          <w:rFonts w:ascii="Times New Roman" w:hAnsi="Times New Roman" w:cs="Times New Roman"/>
          <w:sz w:val="24"/>
          <w:szCs w:val="24"/>
        </w:rPr>
        <w:t>a – tegur, mis arvestab kogumuutuse ümber aasta (vajadusel kuu või kvartali) kohta.</w:t>
      </w:r>
    </w:p>
    <w:p w:rsidR="006B6704" w:rsidRDefault="006B6704" w:rsidP="006B6704">
      <w:pPr>
        <w:spacing w:after="0" w:line="240" w:lineRule="auto"/>
        <w:rPr>
          <w:rFonts w:ascii="Times New Roman" w:hAnsi="Times New Roman" w:cs="Times New Roman"/>
          <w:sz w:val="24"/>
          <w:szCs w:val="24"/>
        </w:rPr>
      </w:pPr>
    </w:p>
    <w:p w:rsidR="006B6704" w:rsidRDefault="006B6704" w:rsidP="006B6704">
      <w:pPr>
        <w:spacing w:after="0"/>
        <w:rPr>
          <w:rFonts w:ascii="Times New Roman" w:hAnsi="Times New Roman" w:cs="Times New Roman"/>
          <w:sz w:val="24"/>
          <w:szCs w:val="24"/>
        </w:rPr>
      </w:pPr>
      <w:r>
        <w:rPr>
          <w:rFonts w:ascii="Times New Roman" w:hAnsi="Times New Roman" w:cs="Times New Roman"/>
          <w:sz w:val="24"/>
          <w:szCs w:val="24"/>
        </w:rPr>
        <w:t>6</w:t>
      </w:r>
      <w:r w:rsidRPr="008739ED">
        <w:rPr>
          <w:rFonts w:ascii="Times New Roman" w:hAnsi="Times New Roman" w:cs="Times New Roman"/>
          <w:sz w:val="24"/>
          <w:szCs w:val="24"/>
        </w:rPr>
        <w:t>. Hindamine toimub hüvitamise eesmärgil. Missuguseid standardites määratud nõudeid ei tohi tellimuslepingu erikokkulepped kitsendada?</w:t>
      </w:r>
    </w:p>
    <w:p w:rsidR="00C61548" w:rsidRDefault="00C61548" w:rsidP="00C61548">
      <w:pPr>
        <w:spacing w:after="0"/>
        <w:rPr>
          <w:rFonts w:ascii="Times New Roman" w:hAnsi="Times New Roman" w:cs="Times New Roman"/>
          <w:b/>
          <w:sz w:val="24"/>
          <w:szCs w:val="24"/>
        </w:rPr>
      </w:pPr>
    </w:p>
    <w:p w:rsidR="00C61548" w:rsidRPr="008739ED" w:rsidRDefault="00C61548" w:rsidP="00C61548">
      <w:pPr>
        <w:spacing w:after="0"/>
        <w:rPr>
          <w:rFonts w:ascii="Times New Roman" w:hAnsi="Times New Roman" w:cs="Times New Roman"/>
          <w:sz w:val="24"/>
          <w:szCs w:val="24"/>
        </w:rPr>
      </w:pPr>
      <w:r w:rsidRPr="008739ED">
        <w:rPr>
          <w:rFonts w:ascii="Times New Roman" w:hAnsi="Times New Roman" w:cs="Times New Roman"/>
          <w:b/>
          <w:sz w:val="24"/>
          <w:szCs w:val="24"/>
        </w:rPr>
        <w:t>Vastus:</w:t>
      </w:r>
      <w:r w:rsidRPr="008739ED">
        <w:rPr>
          <w:rFonts w:ascii="Times New Roman" w:hAnsi="Times New Roman" w:cs="Times New Roman"/>
          <w:sz w:val="24"/>
          <w:szCs w:val="24"/>
        </w:rPr>
        <w:t xml:space="preserve"> Ei tohi kitsendada</w:t>
      </w:r>
    </w:p>
    <w:p w:rsidR="00C61548" w:rsidRPr="008739ED" w:rsidRDefault="00C61548" w:rsidP="00C61548">
      <w:pPr>
        <w:numPr>
          <w:ilvl w:val="0"/>
          <w:numId w:val="5"/>
        </w:numPr>
        <w:spacing w:after="240" w:line="230" w:lineRule="atLeast"/>
        <w:contextualSpacing/>
        <w:jc w:val="both"/>
        <w:rPr>
          <w:rFonts w:ascii="Times New Roman" w:eastAsia="MS Mincho" w:hAnsi="Times New Roman" w:cs="Times New Roman"/>
          <w:sz w:val="24"/>
          <w:szCs w:val="24"/>
          <w:lang w:eastAsia="ja-JP"/>
        </w:rPr>
      </w:pPr>
      <w:r w:rsidRPr="008739ED">
        <w:rPr>
          <w:rFonts w:ascii="Times New Roman" w:eastAsia="MS Mincho" w:hAnsi="Times New Roman" w:cs="Times New Roman"/>
          <w:sz w:val="24"/>
          <w:szCs w:val="24"/>
          <w:lang w:eastAsia="ja-JP"/>
        </w:rPr>
        <w:t>hinnatava väärtuse liiki</w:t>
      </w:r>
    </w:p>
    <w:p w:rsidR="00C61548" w:rsidRPr="008739ED" w:rsidRDefault="00C61548" w:rsidP="00C61548">
      <w:pPr>
        <w:numPr>
          <w:ilvl w:val="0"/>
          <w:numId w:val="5"/>
        </w:numPr>
        <w:spacing w:after="240" w:line="230" w:lineRule="atLeast"/>
        <w:contextualSpacing/>
        <w:jc w:val="both"/>
        <w:rPr>
          <w:rFonts w:ascii="Times New Roman" w:eastAsia="MS Mincho" w:hAnsi="Times New Roman" w:cs="Times New Roman"/>
          <w:sz w:val="24"/>
          <w:szCs w:val="24"/>
          <w:lang w:eastAsia="ja-JP"/>
        </w:rPr>
      </w:pPr>
      <w:r w:rsidRPr="008739ED">
        <w:rPr>
          <w:rFonts w:ascii="Times New Roman" w:eastAsia="MS Mincho" w:hAnsi="Times New Roman" w:cs="Times New Roman"/>
          <w:sz w:val="24"/>
          <w:szCs w:val="24"/>
          <w:lang w:eastAsia="ja-JP"/>
        </w:rPr>
        <w:t>hindaja kutsemääratlust, sh. pädevus ja sõltumatus</w:t>
      </w:r>
    </w:p>
    <w:p w:rsidR="00C61548" w:rsidRPr="008739ED" w:rsidRDefault="00C61548" w:rsidP="00C61548">
      <w:pPr>
        <w:numPr>
          <w:ilvl w:val="0"/>
          <w:numId w:val="5"/>
        </w:numPr>
        <w:spacing w:after="240" w:line="230" w:lineRule="atLeast"/>
        <w:contextualSpacing/>
        <w:jc w:val="both"/>
        <w:rPr>
          <w:rFonts w:ascii="Times New Roman" w:eastAsia="MS Mincho" w:hAnsi="Times New Roman" w:cs="Times New Roman"/>
          <w:sz w:val="24"/>
          <w:szCs w:val="24"/>
          <w:lang w:eastAsia="ja-JP"/>
        </w:rPr>
      </w:pPr>
      <w:r w:rsidRPr="008739ED">
        <w:rPr>
          <w:rFonts w:ascii="Times New Roman" w:eastAsia="MS Mincho" w:hAnsi="Times New Roman" w:cs="Times New Roman"/>
          <w:sz w:val="24"/>
          <w:szCs w:val="24"/>
          <w:lang w:eastAsia="ja-JP"/>
        </w:rPr>
        <w:t>hindaja kutse-eetikat</w:t>
      </w:r>
    </w:p>
    <w:p w:rsidR="00C61548" w:rsidRPr="008739ED" w:rsidRDefault="00C61548" w:rsidP="00C61548">
      <w:pPr>
        <w:numPr>
          <w:ilvl w:val="0"/>
          <w:numId w:val="5"/>
        </w:numPr>
        <w:spacing w:after="240" w:line="230" w:lineRule="atLeast"/>
        <w:contextualSpacing/>
        <w:jc w:val="both"/>
        <w:rPr>
          <w:rFonts w:ascii="Times New Roman" w:eastAsia="MS Mincho" w:hAnsi="Times New Roman" w:cs="Times New Roman"/>
          <w:sz w:val="24"/>
          <w:szCs w:val="24"/>
          <w:lang w:eastAsia="ja-JP"/>
        </w:rPr>
      </w:pPr>
      <w:r w:rsidRPr="008739ED">
        <w:rPr>
          <w:rFonts w:ascii="Times New Roman" w:eastAsia="MS Mincho" w:hAnsi="Times New Roman" w:cs="Times New Roman"/>
          <w:sz w:val="24"/>
          <w:szCs w:val="24"/>
          <w:lang w:eastAsia="ja-JP"/>
        </w:rPr>
        <w:t>hindamisaruande vormi.(EVS875-12 p.5.1.1.7)</w:t>
      </w:r>
    </w:p>
    <w:p w:rsidR="006B6704" w:rsidRPr="008739ED" w:rsidRDefault="006B6704" w:rsidP="006B6704">
      <w:pPr>
        <w:spacing w:after="0" w:line="240" w:lineRule="auto"/>
        <w:rPr>
          <w:rFonts w:ascii="Times New Roman" w:hAnsi="Times New Roman" w:cs="Times New Roman"/>
          <w:sz w:val="24"/>
          <w:szCs w:val="24"/>
        </w:rPr>
      </w:pPr>
    </w:p>
    <w:p w:rsidR="006B6704" w:rsidRPr="008739ED" w:rsidRDefault="006B6704" w:rsidP="006B6704">
      <w:pPr>
        <w:spacing w:after="0"/>
        <w:jc w:val="both"/>
        <w:rPr>
          <w:rFonts w:ascii="Times New Roman" w:hAnsi="Times New Roman" w:cs="Times New Roman"/>
          <w:sz w:val="24"/>
          <w:szCs w:val="24"/>
        </w:rPr>
      </w:pPr>
      <w:r>
        <w:rPr>
          <w:rFonts w:ascii="Times New Roman" w:hAnsi="Times New Roman" w:cs="Times New Roman"/>
          <w:sz w:val="24"/>
          <w:szCs w:val="24"/>
        </w:rPr>
        <w:t>7</w:t>
      </w:r>
      <w:r w:rsidRPr="00830F05">
        <w:rPr>
          <w:rFonts w:ascii="Times New Roman" w:hAnsi="Times New Roman" w:cs="Times New Roman"/>
          <w:sz w:val="24"/>
          <w:szCs w:val="24"/>
        </w:rPr>
        <w:t xml:space="preserve">. </w:t>
      </w:r>
      <w:r w:rsidRPr="008739ED">
        <w:rPr>
          <w:rFonts w:ascii="Times New Roman" w:hAnsi="Times New Roman" w:cs="Times New Roman"/>
          <w:sz w:val="24"/>
          <w:szCs w:val="24"/>
        </w:rPr>
        <w:t xml:space="preserve"> Vastavalt standardile EVS 875-9 Tulumeetod, on rahavoo üheks struktuurielemendiks turuväärtuse hindamisel Kapitalikulu. Mis on kapitalikulu vastavalt EVS875-9 ja kuidas seda arvutatakse turuväärtuse hindamisel kasutatava rahavoo jaoks?</w:t>
      </w:r>
    </w:p>
    <w:p w:rsidR="00C61548" w:rsidRPr="009E4038" w:rsidRDefault="00C61548" w:rsidP="00C61548">
      <w:pPr>
        <w:autoSpaceDE w:val="0"/>
        <w:autoSpaceDN w:val="0"/>
        <w:adjustRightInd w:val="0"/>
        <w:spacing w:after="0" w:line="240" w:lineRule="auto"/>
        <w:rPr>
          <w:rFonts w:ascii="Times New Roman" w:hAnsi="Times New Roman" w:cs="Times New Roman"/>
          <w:b/>
          <w:sz w:val="24"/>
          <w:szCs w:val="24"/>
        </w:rPr>
      </w:pPr>
      <w:r w:rsidRPr="009E4038">
        <w:rPr>
          <w:rFonts w:ascii="Times New Roman" w:hAnsi="Times New Roman" w:cs="Times New Roman"/>
          <w:b/>
          <w:sz w:val="24"/>
          <w:szCs w:val="24"/>
        </w:rPr>
        <w:t xml:space="preserve">Vastus: </w:t>
      </w:r>
      <w:r w:rsidRPr="008739ED">
        <w:rPr>
          <w:rFonts w:ascii="Times New Roman" w:hAnsi="Times New Roman" w:cs="Times New Roman"/>
          <w:sz w:val="24"/>
          <w:szCs w:val="24"/>
        </w:rPr>
        <w:t>Kapitalikulu on kinnisvara korrashoiuga (remondi või hooldusega) seotud</w:t>
      </w:r>
    </w:p>
    <w:p w:rsidR="00C61548" w:rsidRPr="008739ED" w:rsidRDefault="00C61548" w:rsidP="00C61548">
      <w:pPr>
        <w:autoSpaceDE w:val="0"/>
        <w:autoSpaceDN w:val="0"/>
        <w:adjustRightInd w:val="0"/>
        <w:spacing w:after="0" w:line="240" w:lineRule="auto"/>
        <w:rPr>
          <w:rFonts w:ascii="Times New Roman" w:hAnsi="Times New Roman" w:cs="Times New Roman"/>
          <w:sz w:val="24"/>
          <w:szCs w:val="24"/>
        </w:rPr>
      </w:pPr>
      <w:r w:rsidRPr="008739ED">
        <w:rPr>
          <w:rFonts w:ascii="Times New Roman" w:hAnsi="Times New Roman" w:cs="Times New Roman"/>
          <w:sz w:val="24"/>
          <w:szCs w:val="24"/>
        </w:rPr>
        <w:t>raamatupidamises kapitaliseeritavad kulud.</w:t>
      </w:r>
    </w:p>
    <w:p w:rsidR="00C61548" w:rsidRPr="008739ED" w:rsidRDefault="00C61548" w:rsidP="00C61548">
      <w:pPr>
        <w:autoSpaceDE w:val="0"/>
        <w:autoSpaceDN w:val="0"/>
        <w:adjustRightInd w:val="0"/>
        <w:spacing w:after="0" w:line="240" w:lineRule="auto"/>
        <w:rPr>
          <w:rFonts w:ascii="Times New Roman" w:hAnsi="Times New Roman" w:cs="Times New Roman"/>
          <w:sz w:val="24"/>
          <w:szCs w:val="24"/>
        </w:rPr>
      </w:pPr>
      <w:r w:rsidRPr="008739ED">
        <w:rPr>
          <w:rFonts w:ascii="Times New Roman" w:hAnsi="Times New Roman" w:cs="Times New Roman"/>
          <w:sz w:val="24"/>
          <w:szCs w:val="24"/>
        </w:rPr>
        <w:t>Arvutatakse: Kapitalikulu €/SNP m2 kuus × SNP m2 ×12</w:t>
      </w:r>
    </w:p>
    <w:p w:rsidR="00C61548" w:rsidRPr="008739ED" w:rsidRDefault="00C61548" w:rsidP="00C61548">
      <w:pPr>
        <w:autoSpaceDE w:val="0"/>
        <w:autoSpaceDN w:val="0"/>
        <w:adjustRightInd w:val="0"/>
        <w:spacing w:after="0" w:line="240" w:lineRule="auto"/>
        <w:rPr>
          <w:rFonts w:ascii="Times New Roman" w:hAnsi="Times New Roman" w:cs="Times New Roman"/>
          <w:sz w:val="24"/>
          <w:szCs w:val="24"/>
        </w:rPr>
      </w:pPr>
      <w:r w:rsidRPr="008739ED">
        <w:rPr>
          <w:rFonts w:ascii="Times New Roman" w:hAnsi="Times New Roman" w:cs="Times New Roman"/>
          <w:sz w:val="24"/>
          <w:szCs w:val="24"/>
        </w:rPr>
        <w:t>Kapitalikulu €/SNP m2 kuus tuleb kohandada turutingimustele, arvestades</w:t>
      </w:r>
    </w:p>
    <w:p w:rsidR="00C61548" w:rsidRPr="008739ED" w:rsidRDefault="00C61548" w:rsidP="00C61548">
      <w:pPr>
        <w:autoSpaceDE w:val="0"/>
        <w:autoSpaceDN w:val="0"/>
        <w:adjustRightInd w:val="0"/>
        <w:spacing w:after="0" w:line="240" w:lineRule="auto"/>
        <w:rPr>
          <w:rFonts w:ascii="Times New Roman" w:hAnsi="Times New Roman" w:cs="Times New Roman"/>
          <w:sz w:val="24"/>
          <w:szCs w:val="24"/>
        </w:rPr>
      </w:pPr>
      <w:r w:rsidRPr="008739ED">
        <w:rPr>
          <w:rFonts w:ascii="Times New Roman" w:hAnsi="Times New Roman" w:cs="Times New Roman"/>
          <w:sz w:val="24"/>
          <w:szCs w:val="24"/>
        </w:rPr>
        <w:t>hinnatava objekti spetsiifikat.</w:t>
      </w:r>
    </w:p>
    <w:p w:rsidR="00C61548" w:rsidRPr="008739ED" w:rsidRDefault="00C61548" w:rsidP="00C61548">
      <w:pPr>
        <w:autoSpaceDE w:val="0"/>
        <w:autoSpaceDN w:val="0"/>
        <w:adjustRightInd w:val="0"/>
        <w:spacing w:after="0" w:line="240" w:lineRule="auto"/>
        <w:rPr>
          <w:rFonts w:ascii="Times New Roman" w:hAnsi="Times New Roman" w:cs="Times New Roman"/>
          <w:sz w:val="24"/>
          <w:szCs w:val="24"/>
        </w:rPr>
      </w:pPr>
      <w:r w:rsidRPr="008739ED">
        <w:rPr>
          <w:rFonts w:ascii="Times New Roman" w:hAnsi="Times New Roman" w:cs="Times New Roman"/>
          <w:sz w:val="24"/>
          <w:szCs w:val="24"/>
        </w:rPr>
        <w:t>Kui puuduvad andmed kapitalikulu SNP m2 kohta kuus, siis esitatakse</w:t>
      </w:r>
    </w:p>
    <w:p w:rsidR="00C61548" w:rsidRPr="008739ED" w:rsidRDefault="00C61548" w:rsidP="00C61548">
      <w:pPr>
        <w:autoSpaceDE w:val="0"/>
        <w:autoSpaceDN w:val="0"/>
        <w:adjustRightInd w:val="0"/>
        <w:spacing w:after="0" w:line="240" w:lineRule="auto"/>
        <w:rPr>
          <w:rFonts w:ascii="Times New Roman" w:hAnsi="Times New Roman" w:cs="Times New Roman"/>
          <w:sz w:val="24"/>
          <w:szCs w:val="24"/>
        </w:rPr>
      </w:pPr>
      <w:r w:rsidRPr="008739ED">
        <w:rPr>
          <w:rFonts w:ascii="Times New Roman" w:hAnsi="Times New Roman" w:cs="Times New Roman"/>
          <w:sz w:val="24"/>
          <w:szCs w:val="24"/>
        </w:rPr>
        <w:t>aastane kapitalikulude summa.</w:t>
      </w:r>
    </w:p>
    <w:p w:rsidR="006B6704" w:rsidRPr="008739ED" w:rsidRDefault="006B6704" w:rsidP="006B6704">
      <w:pPr>
        <w:autoSpaceDE w:val="0"/>
        <w:autoSpaceDN w:val="0"/>
        <w:adjustRightInd w:val="0"/>
        <w:spacing w:after="0" w:line="240" w:lineRule="auto"/>
        <w:jc w:val="both"/>
        <w:rPr>
          <w:rFonts w:ascii="Times New Roman" w:hAnsi="Times New Roman" w:cs="Times New Roman"/>
          <w:sz w:val="24"/>
          <w:szCs w:val="24"/>
        </w:rPr>
      </w:pPr>
    </w:p>
    <w:p w:rsidR="006B6704" w:rsidRPr="00EB34D7" w:rsidRDefault="006B6704" w:rsidP="006B67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8739ED">
        <w:rPr>
          <w:rFonts w:ascii="Times New Roman" w:hAnsi="Times New Roman" w:cs="Times New Roman"/>
          <w:sz w:val="24"/>
          <w:szCs w:val="24"/>
        </w:rPr>
        <w:t>. Mis on hinnangu läbivaatus vastavalt standardile EVS 875-7, nimetage hinnangu läbivaatuse põhiliig</w:t>
      </w:r>
      <w:r>
        <w:rPr>
          <w:rFonts w:ascii="Times New Roman" w:hAnsi="Times New Roman" w:cs="Times New Roman"/>
          <w:sz w:val="24"/>
          <w:szCs w:val="24"/>
        </w:rPr>
        <w:t>i</w:t>
      </w:r>
      <w:r w:rsidRPr="008739ED">
        <w:rPr>
          <w:rFonts w:ascii="Times New Roman" w:hAnsi="Times New Roman" w:cs="Times New Roman"/>
          <w:sz w:val="24"/>
          <w:szCs w:val="24"/>
        </w:rPr>
        <w:t>d ning mis on nende sisu?</w:t>
      </w:r>
    </w:p>
    <w:p w:rsidR="00C61548" w:rsidRPr="00C61548" w:rsidRDefault="00C61548" w:rsidP="00C61548">
      <w:pPr>
        <w:autoSpaceDE w:val="0"/>
        <w:autoSpaceDN w:val="0"/>
        <w:adjustRightInd w:val="0"/>
        <w:spacing w:after="0" w:line="240" w:lineRule="auto"/>
        <w:rPr>
          <w:rFonts w:ascii="Times New Roman" w:hAnsi="Times New Roman" w:cs="Times New Roman"/>
          <w:b/>
          <w:sz w:val="24"/>
          <w:szCs w:val="24"/>
        </w:rPr>
      </w:pPr>
      <w:r w:rsidRPr="00C61548">
        <w:rPr>
          <w:rFonts w:ascii="Times New Roman" w:hAnsi="Times New Roman" w:cs="Times New Roman"/>
          <w:b/>
          <w:sz w:val="24"/>
          <w:szCs w:val="24"/>
        </w:rPr>
        <w:t xml:space="preserve">Vastus: </w:t>
      </w:r>
      <w:r w:rsidRPr="00C61548">
        <w:rPr>
          <w:rFonts w:ascii="Times New Roman" w:hAnsi="Times New Roman" w:cs="Times New Roman"/>
          <w:sz w:val="24"/>
          <w:szCs w:val="24"/>
        </w:rPr>
        <w:t xml:space="preserve">Hinnangu läbivaatus </w:t>
      </w:r>
      <w:r w:rsidRPr="00C61548">
        <w:rPr>
          <w:rFonts w:ascii="Times New Roman" w:hAnsi="Times New Roman" w:cs="Times New Roman"/>
          <w:i/>
          <w:sz w:val="24"/>
          <w:szCs w:val="24"/>
        </w:rPr>
        <w:t>(valuation review)</w:t>
      </w:r>
      <w:r w:rsidRPr="00C61548">
        <w:rPr>
          <w:rFonts w:ascii="Times New Roman" w:hAnsi="Times New Roman" w:cs="Times New Roman"/>
          <w:sz w:val="24"/>
          <w:szCs w:val="24"/>
        </w:rPr>
        <w:t xml:space="preserve"> on hindaja töö erapooletu arvustus, mis on teostatud teise hindaja poolt. Hinnangu läbivaatusel on hinnangu kvaliteeti kontrolliv e auditeeriv funktsioon.</w:t>
      </w:r>
    </w:p>
    <w:p w:rsidR="00C61548" w:rsidRPr="00C61548" w:rsidRDefault="00C61548" w:rsidP="00C61548">
      <w:pPr>
        <w:rPr>
          <w:rFonts w:ascii="Times New Roman" w:hAnsi="Times New Roman" w:cs="Times New Roman"/>
          <w:sz w:val="24"/>
          <w:szCs w:val="24"/>
        </w:rPr>
      </w:pPr>
      <w:r w:rsidRPr="00C61548">
        <w:rPr>
          <w:rFonts w:ascii="Times New Roman" w:hAnsi="Times New Roman" w:cs="Times New Roman"/>
          <w:sz w:val="24"/>
          <w:szCs w:val="24"/>
        </w:rPr>
        <w:t>Hinnangute läbivaatuse põhiliigid on vastavusläbivaatus ja tehniline läbivaatus.</w:t>
      </w:r>
    </w:p>
    <w:p w:rsidR="00C61548" w:rsidRPr="00C61548" w:rsidRDefault="00C61548" w:rsidP="00C61548">
      <w:pPr>
        <w:shd w:val="clear" w:color="auto" w:fill="FFFFFF"/>
        <w:spacing w:after="0" w:line="240" w:lineRule="auto"/>
        <w:jc w:val="both"/>
        <w:rPr>
          <w:rFonts w:ascii="Times New Roman" w:eastAsia="Times New Roman" w:hAnsi="Times New Roman" w:cs="Times New Roman"/>
          <w:b/>
          <w:color w:val="000000"/>
          <w:sz w:val="24"/>
          <w:szCs w:val="24"/>
          <w:lang w:eastAsia="et-EE"/>
        </w:rPr>
      </w:pPr>
      <w:r w:rsidRPr="00C61548">
        <w:rPr>
          <w:rFonts w:ascii="Times New Roman" w:eastAsia="Times New Roman" w:hAnsi="Times New Roman" w:cs="Times New Roman"/>
          <w:color w:val="000000"/>
          <w:sz w:val="24"/>
          <w:szCs w:val="24"/>
          <w:lang w:eastAsia="et-EE"/>
        </w:rPr>
        <w:t xml:space="preserve">Vastavusläbivaatus (administrative review) on hinnangu läbivaatus määramaks selle vastavust standardi EVS 875 nõuetele ja  hindamise lähteülesandele.  </w:t>
      </w:r>
    </w:p>
    <w:p w:rsidR="00C61548" w:rsidRPr="00C61548" w:rsidRDefault="00C61548" w:rsidP="00C61548">
      <w:pPr>
        <w:shd w:val="clear" w:color="auto" w:fill="FFFFFF"/>
        <w:spacing w:after="0" w:line="240" w:lineRule="auto"/>
        <w:jc w:val="both"/>
        <w:rPr>
          <w:rFonts w:ascii="Times New Roman" w:eastAsia="Times New Roman" w:hAnsi="Times New Roman" w:cs="Times New Roman"/>
          <w:color w:val="000000"/>
          <w:sz w:val="24"/>
          <w:szCs w:val="24"/>
          <w:lang w:eastAsia="et-EE"/>
        </w:rPr>
      </w:pPr>
    </w:p>
    <w:p w:rsidR="00C61548" w:rsidRPr="00C61548" w:rsidRDefault="00C61548" w:rsidP="00C61548">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C61548">
        <w:rPr>
          <w:rFonts w:ascii="Times New Roman" w:eastAsia="Times New Roman" w:hAnsi="Times New Roman" w:cs="Times New Roman"/>
          <w:color w:val="000000"/>
          <w:sz w:val="24"/>
          <w:szCs w:val="24"/>
          <w:lang w:eastAsia="et-EE"/>
        </w:rPr>
        <w:t xml:space="preserve">Tehniline läbivaatus </w:t>
      </w:r>
      <w:r w:rsidRPr="00C61548">
        <w:rPr>
          <w:rFonts w:ascii="Times New Roman" w:eastAsia="Times New Roman" w:hAnsi="Times New Roman" w:cs="Times New Roman"/>
          <w:i/>
          <w:color w:val="000000"/>
          <w:sz w:val="24"/>
          <w:szCs w:val="24"/>
          <w:lang w:eastAsia="et-EE"/>
        </w:rPr>
        <w:t xml:space="preserve">(technical review) </w:t>
      </w:r>
      <w:r w:rsidRPr="00C61548">
        <w:rPr>
          <w:rFonts w:ascii="Times New Roman" w:eastAsia="Times New Roman" w:hAnsi="Times New Roman" w:cs="Times New Roman"/>
          <w:color w:val="000000"/>
          <w:sz w:val="24"/>
          <w:szCs w:val="24"/>
          <w:lang w:eastAsia="et-EE"/>
        </w:rPr>
        <w:t>on hinnangu läbivaatus saamaks ülevaadet lähteandmete, analüüsi, metoodika  ja järelduste õigsuse, sobivuse ja põhjendatuse kohta. Tehnilist läbivaatust võib teostada kõigi loetletud hindamisaruande osade kohta või mõnele neist.</w:t>
      </w:r>
    </w:p>
    <w:p w:rsidR="00C61548" w:rsidRPr="00C61548" w:rsidRDefault="00C61548" w:rsidP="00C61548">
      <w:pPr>
        <w:shd w:val="clear" w:color="auto" w:fill="FFFFFF"/>
        <w:spacing w:after="0" w:line="240" w:lineRule="auto"/>
        <w:jc w:val="both"/>
        <w:rPr>
          <w:rFonts w:ascii="Times New Roman" w:eastAsia="Times New Roman" w:hAnsi="Times New Roman" w:cs="Times New Roman"/>
          <w:color w:val="000000"/>
          <w:sz w:val="24"/>
          <w:szCs w:val="24"/>
          <w:lang w:eastAsia="et-EE"/>
        </w:rPr>
      </w:pPr>
      <w:r w:rsidRPr="00C61548">
        <w:rPr>
          <w:rFonts w:ascii="Times New Roman" w:eastAsia="Times New Roman" w:hAnsi="Times New Roman" w:cs="Times New Roman"/>
          <w:color w:val="000000"/>
          <w:sz w:val="24"/>
          <w:szCs w:val="24"/>
          <w:lang w:eastAsia="et-EE"/>
        </w:rPr>
        <w:t>Tehniline läbivaatus teostatakse peaaegu alati juhtudel, kus  sama vara hindamisel on erinevad hindajad jõudnud erinevalt tulemusele ja läbivaatuse eesmärgiks on saada täiendav seiskoht hindamistulemuse osas ilma uut hindamist teostamata.</w:t>
      </w:r>
    </w:p>
    <w:p w:rsidR="006B6704" w:rsidRPr="008739ED" w:rsidRDefault="006B6704" w:rsidP="006B6704">
      <w:pPr>
        <w:shd w:val="clear" w:color="auto" w:fill="FFFFFF"/>
        <w:spacing w:after="0" w:line="240" w:lineRule="auto"/>
        <w:jc w:val="both"/>
        <w:rPr>
          <w:rFonts w:ascii="Times New Roman" w:eastAsia="Times New Roman" w:hAnsi="Times New Roman" w:cs="Times New Roman"/>
          <w:color w:val="000000"/>
          <w:sz w:val="24"/>
          <w:szCs w:val="24"/>
          <w:lang w:eastAsia="et-EE"/>
        </w:rPr>
      </w:pPr>
    </w:p>
    <w:p w:rsidR="006B6704" w:rsidRDefault="006B6704" w:rsidP="00C61548">
      <w:pPr>
        <w:spacing w:after="0"/>
        <w:jc w:val="both"/>
        <w:rPr>
          <w:rFonts w:ascii="Times New Roman" w:hAnsi="Times New Roman" w:cs="Times New Roman"/>
          <w:sz w:val="24"/>
          <w:szCs w:val="24"/>
        </w:rPr>
      </w:pPr>
      <w:r w:rsidRPr="00403F3E">
        <w:rPr>
          <w:rFonts w:ascii="Times New Roman" w:hAnsi="Times New Roman" w:cs="Times New Roman"/>
          <w:sz w:val="24"/>
          <w:szCs w:val="24"/>
        </w:rPr>
        <w:t>9. Selgitada, milline on erinevus tegeliku ja loomuliku turuvakantsimäära vahel?</w:t>
      </w:r>
    </w:p>
    <w:p w:rsidR="00C61548" w:rsidRDefault="00C61548" w:rsidP="00C61548">
      <w:pPr>
        <w:spacing w:after="0" w:line="240" w:lineRule="auto"/>
        <w:jc w:val="both"/>
        <w:rPr>
          <w:rFonts w:ascii="Times New Roman" w:eastAsia="Calibri" w:hAnsi="Times New Roman" w:cs="Times New Roman"/>
          <w:sz w:val="24"/>
          <w:szCs w:val="24"/>
        </w:rPr>
      </w:pPr>
      <w:r w:rsidRPr="00C61548">
        <w:rPr>
          <w:rFonts w:ascii="Times New Roman" w:hAnsi="Times New Roman" w:cs="Times New Roman"/>
          <w:b/>
          <w:sz w:val="24"/>
          <w:szCs w:val="24"/>
        </w:rPr>
        <w:t>Vastus</w:t>
      </w:r>
      <w:r w:rsidRPr="00C61548">
        <w:rPr>
          <w:rFonts w:ascii="Times New Roman" w:hAnsi="Times New Roman" w:cs="Times New Roman"/>
          <w:sz w:val="24"/>
          <w:szCs w:val="24"/>
        </w:rPr>
        <w:t xml:space="preserve">: </w:t>
      </w:r>
      <w:r w:rsidRPr="00C61548">
        <w:rPr>
          <w:rFonts w:ascii="Times New Roman" w:eastAsia="Calibri" w:hAnsi="Times New Roman" w:cs="Times New Roman"/>
          <w:sz w:val="24"/>
          <w:szCs w:val="24"/>
        </w:rPr>
        <w:t>Loomu</w:t>
      </w:r>
      <w:r w:rsidRPr="00C61548">
        <w:rPr>
          <w:rFonts w:ascii="Times New Roman" w:eastAsia="Calibri" w:hAnsi="Times New Roman" w:cs="Times New Roman"/>
          <w:sz w:val="24"/>
          <w:szCs w:val="24"/>
        </w:rPr>
        <w:softHyphen/>
        <w:t>lik vakantsimäär varieerub seoses nii aja kui ka ruumiga (pinnaliigiga). Loomulik vakant</w:t>
      </w:r>
      <w:r w:rsidRPr="00C61548">
        <w:rPr>
          <w:rFonts w:ascii="Times New Roman" w:eastAsia="Calibri" w:hAnsi="Times New Roman" w:cs="Times New Roman"/>
          <w:sz w:val="24"/>
          <w:szCs w:val="24"/>
        </w:rPr>
        <w:softHyphen/>
        <w:t>si</w:t>
      </w:r>
      <w:r w:rsidRPr="00C61548">
        <w:rPr>
          <w:rFonts w:ascii="Times New Roman" w:eastAsia="Calibri" w:hAnsi="Times New Roman" w:cs="Times New Roman"/>
          <w:sz w:val="24"/>
          <w:szCs w:val="24"/>
        </w:rPr>
        <w:softHyphen/>
        <w:t>määr on va</w:t>
      </w:r>
      <w:r w:rsidRPr="00C61548">
        <w:rPr>
          <w:rFonts w:ascii="Times New Roman" w:eastAsia="Calibri" w:hAnsi="Times New Roman" w:cs="Times New Roman"/>
          <w:sz w:val="24"/>
          <w:szCs w:val="24"/>
        </w:rPr>
        <w:softHyphen/>
        <w:t>kant</w:t>
      </w:r>
      <w:r w:rsidRPr="00C61548">
        <w:rPr>
          <w:rFonts w:ascii="Times New Roman" w:eastAsia="Calibri" w:hAnsi="Times New Roman" w:cs="Times New Roman"/>
          <w:sz w:val="24"/>
          <w:szCs w:val="24"/>
        </w:rPr>
        <w:softHyphen/>
        <w:t>si</w:t>
      </w:r>
      <w:r w:rsidRPr="00C61548">
        <w:rPr>
          <w:rFonts w:ascii="Times New Roman" w:eastAsia="Calibri" w:hAnsi="Times New Roman" w:cs="Times New Roman"/>
          <w:sz w:val="24"/>
          <w:szCs w:val="24"/>
        </w:rPr>
        <w:softHyphen/>
        <w:t>määr, mille ümber varieerub tegelik vakantsimäär. Tegemist on antud turusektorile ise</w:t>
      </w:r>
      <w:r w:rsidRPr="00C61548">
        <w:rPr>
          <w:rFonts w:ascii="Times New Roman" w:eastAsia="Calibri" w:hAnsi="Times New Roman" w:cs="Times New Roman"/>
          <w:sz w:val="24"/>
          <w:szCs w:val="24"/>
        </w:rPr>
        <w:softHyphen/>
        <w:t>loo</w:t>
      </w:r>
      <w:r w:rsidRPr="00C61548">
        <w:rPr>
          <w:rFonts w:ascii="Times New Roman" w:eastAsia="Calibri" w:hAnsi="Times New Roman" w:cs="Times New Roman"/>
          <w:sz w:val="24"/>
          <w:szCs w:val="24"/>
        </w:rPr>
        <w:softHyphen/>
        <w:t>mu</w:t>
      </w:r>
      <w:r w:rsidRPr="00C61548">
        <w:rPr>
          <w:rFonts w:ascii="Times New Roman" w:eastAsia="Calibri" w:hAnsi="Times New Roman" w:cs="Times New Roman"/>
          <w:sz w:val="24"/>
          <w:szCs w:val="24"/>
        </w:rPr>
        <w:softHyphen/>
        <w:t>li</w:t>
      </w:r>
      <w:r w:rsidRPr="00C61548">
        <w:rPr>
          <w:rFonts w:ascii="Times New Roman" w:eastAsia="Calibri" w:hAnsi="Times New Roman" w:cs="Times New Roman"/>
          <w:sz w:val="24"/>
          <w:szCs w:val="24"/>
        </w:rPr>
        <w:softHyphen/>
        <w:t>ku kesk</w:t>
      </w:r>
      <w:r w:rsidRPr="00C61548">
        <w:rPr>
          <w:rFonts w:ascii="Times New Roman" w:eastAsia="Calibri" w:hAnsi="Times New Roman" w:cs="Times New Roman"/>
          <w:sz w:val="24"/>
          <w:szCs w:val="24"/>
        </w:rPr>
        <w:softHyphen/>
      </w:r>
      <w:r w:rsidRPr="00C61548">
        <w:rPr>
          <w:rFonts w:ascii="Times New Roman" w:eastAsia="Calibri" w:hAnsi="Times New Roman" w:cs="Times New Roman"/>
          <w:sz w:val="24"/>
          <w:szCs w:val="24"/>
        </w:rPr>
        <w:softHyphen/>
      </w:r>
      <w:r w:rsidRPr="00C61548">
        <w:rPr>
          <w:rFonts w:ascii="Times New Roman" w:eastAsia="Calibri" w:hAnsi="Times New Roman" w:cs="Times New Roman"/>
          <w:sz w:val="24"/>
          <w:szCs w:val="24"/>
        </w:rPr>
        <w:softHyphen/>
        <w:t>mise vakantsimääraga ehk tasakaalu vakantsimääraga pikema ajaperioodi jooksul (nt 10-aastase vaat</w:t>
      </w:r>
      <w:r w:rsidRPr="00C61548">
        <w:rPr>
          <w:rFonts w:ascii="Times New Roman" w:eastAsia="Calibri" w:hAnsi="Times New Roman" w:cs="Times New Roman"/>
          <w:sz w:val="24"/>
          <w:szCs w:val="24"/>
        </w:rPr>
        <w:softHyphen/>
        <w:t>lu</w:t>
      </w:r>
      <w:r w:rsidRPr="00C61548">
        <w:rPr>
          <w:rFonts w:ascii="Times New Roman" w:eastAsia="Calibri" w:hAnsi="Times New Roman" w:cs="Times New Roman"/>
          <w:sz w:val="24"/>
          <w:szCs w:val="24"/>
        </w:rPr>
        <w:softHyphen/>
        <w:t>se keskmisena). Üüritase suureneb (alaneb), kui te</w:t>
      </w:r>
      <w:r w:rsidRPr="00C61548">
        <w:rPr>
          <w:rFonts w:ascii="Times New Roman" w:eastAsia="Calibri" w:hAnsi="Times New Roman" w:cs="Times New Roman"/>
          <w:sz w:val="24"/>
          <w:szCs w:val="24"/>
        </w:rPr>
        <w:softHyphen/>
        <w:t>gelik va</w:t>
      </w:r>
      <w:r w:rsidRPr="00C61548">
        <w:rPr>
          <w:rFonts w:ascii="Times New Roman" w:eastAsia="Calibri" w:hAnsi="Times New Roman" w:cs="Times New Roman"/>
          <w:sz w:val="24"/>
          <w:szCs w:val="24"/>
        </w:rPr>
        <w:softHyphen/>
      </w:r>
      <w:r w:rsidRPr="00C61548">
        <w:rPr>
          <w:rFonts w:ascii="Times New Roman" w:eastAsia="Calibri" w:hAnsi="Times New Roman" w:cs="Times New Roman"/>
          <w:sz w:val="24"/>
          <w:szCs w:val="24"/>
        </w:rPr>
        <w:softHyphen/>
        <w:t>kantsimäär on alla (üle) oma loomuliku taseme: juhul, kui tegelik vakantsus suureneb üle turu loomu</w:t>
      </w:r>
      <w:r w:rsidRPr="00C61548">
        <w:rPr>
          <w:rFonts w:ascii="Times New Roman" w:eastAsia="Calibri" w:hAnsi="Times New Roman" w:cs="Times New Roman"/>
          <w:sz w:val="24"/>
          <w:szCs w:val="24"/>
        </w:rPr>
        <w:softHyphen/>
        <w:t>li</w:t>
      </w:r>
      <w:r w:rsidRPr="00C61548">
        <w:rPr>
          <w:rFonts w:ascii="Times New Roman" w:eastAsia="Calibri" w:hAnsi="Times New Roman" w:cs="Times New Roman"/>
          <w:sz w:val="24"/>
          <w:szCs w:val="24"/>
        </w:rPr>
        <w:softHyphen/>
        <w:t>ku vakantsuse, hakkab renditase alanema; juhul, kui te</w:t>
      </w:r>
      <w:r w:rsidRPr="00C61548">
        <w:rPr>
          <w:rFonts w:ascii="Times New Roman" w:eastAsia="Calibri" w:hAnsi="Times New Roman" w:cs="Times New Roman"/>
          <w:sz w:val="24"/>
          <w:szCs w:val="24"/>
        </w:rPr>
        <w:softHyphen/>
        <w:t>gelik va</w:t>
      </w:r>
      <w:r w:rsidRPr="00C61548">
        <w:rPr>
          <w:rFonts w:ascii="Times New Roman" w:eastAsia="Calibri" w:hAnsi="Times New Roman" w:cs="Times New Roman"/>
          <w:sz w:val="24"/>
          <w:szCs w:val="24"/>
        </w:rPr>
        <w:softHyphen/>
        <w:t>kant</w:t>
      </w:r>
      <w:r w:rsidRPr="00C61548">
        <w:rPr>
          <w:rFonts w:ascii="Times New Roman" w:eastAsia="Calibri" w:hAnsi="Times New Roman" w:cs="Times New Roman"/>
          <w:sz w:val="24"/>
          <w:szCs w:val="24"/>
        </w:rPr>
        <w:softHyphen/>
        <w:t>sus on väiksem loomulikust vakant</w:t>
      </w:r>
      <w:r w:rsidRPr="00C61548">
        <w:rPr>
          <w:rFonts w:ascii="Times New Roman" w:eastAsia="Calibri" w:hAnsi="Times New Roman" w:cs="Times New Roman"/>
          <w:sz w:val="24"/>
          <w:szCs w:val="24"/>
        </w:rPr>
        <w:softHyphen/>
        <w:t>su</w:t>
      </w:r>
      <w:r w:rsidRPr="00C61548">
        <w:rPr>
          <w:rFonts w:ascii="Times New Roman" w:eastAsia="Calibri" w:hAnsi="Times New Roman" w:cs="Times New Roman"/>
          <w:sz w:val="24"/>
          <w:szCs w:val="24"/>
        </w:rPr>
        <w:softHyphen/>
        <w:t>sest, hakkab tururenditase tõusma.</w:t>
      </w:r>
    </w:p>
    <w:p w:rsidR="00C61548" w:rsidRPr="00C61548" w:rsidRDefault="00C61548" w:rsidP="00C61548">
      <w:pPr>
        <w:spacing w:after="0" w:line="240" w:lineRule="auto"/>
        <w:jc w:val="both"/>
        <w:rPr>
          <w:rFonts w:ascii="Times New Roman" w:eastAsia="Calibri" w:hAnsi="Times New Roman" w:cs="Times New Roman"/>
          <w:sz w:val="24"/>
          <w:szCs w:val="24"/>
        </w:rPr>
      </w:pPr>
    </w:p>
    <w:p w:rsidR="006B6704" w:rsidRDefault="006B6704" w:rsidP="00C61548">
      <w:pPr>
        <w:spacing w:after="0" w:line="240" w:lineRule="auto"/>
        <w:jc w:val="both"/>
        <w:rPr>
          <w:rFonts w:ascii="Times New Roman" w:hAnsi="Times New Roman" w:cs="Times New Roman"/>
          <w:sz w:val="24"/>
          <w:szCs w:val="24"/>
        </w:rPr>
      </w:pPr>
      <w:r w:rsidRPr="00B25DA9">
        <w:rPr>
          <w:rFonts w:ascii="Times New Roman" w:hAnsi="Times New Roman" w:cs="Times New Roman"/>
          <w:sz w:val="24"/>
          <w:szCs w:val="24"/>
        </w:rPr>
        <w:t>10. Palun esitada sisemise tulumäära (</w:t>
      </w:r>
      <w:r w:rsidRPr="00B25DA9">
        <w:rPr>
          <w:rFonts w:ascii="Times New Roman" w:hAnsi="Times New Roman" w:cs="Times New Roman"/>
          <w:i/>
          <w:sz w:val="24"/>
          <w:szCs w:val="24"/>
        </w:rPr>
        <w:t>internal rate of return</w:t>
      </w:r>
      <w:r w:rsidRPr="00B25DA9">
        <w:rPr>
          <w:rFonts w:ascii="Times New Roman" w:hAnsi="Times New Roman" w:cs="Times New Roman"/>
          <w:sz w:val="24"/>
          <w:szCs w:val="24"/>
        </w:rPr>
        <w:t xml:space="preserve">, </w:t>
      </w:r>
      <w:r w:rsidRPr="00B25DA9">
        <w:rPr>
          <w:rFonts w:ascii="Times New Roman" w:hAnsi="Times New Roman" w:cs="Times New Roman"/>
          <w:i/>
          <w:sz w:val="24"/>
          <w:szCs w:val="24"/>
        </w:rPr>
        <w:t>IRR</w:t>
      </w:r>
      <w:r w:rsidRPr="00B25DA9">
        <w:rPr>
          <w:rFonts w:ascii="Times New Roman" w:hAnsi="Times New Roman" w:cs="Times New Roman"/>
          <w:sz w:val="24"/>
          <w:szCs w:val="24"/>
        </w:rPr>
        <w:t>) valem koos selgitustega kasutatavate si</w:t>
      </w:r>
      <w:r w:rsidRPr="00B25DA9">
        <w:rPr>
          <w:rFonts w:ascii="Times New Roman" w:hAnsi="Times New Roman" w:cs="Times New Roman"/>
          <w:sz w:val="24"/>
          <w:szCs w:val="24"/>
        </w:rPr>
        <w:softHyphen/>
        <w:t>sen</w:t>
      </w:r>
      <w:r w:rsidRPr="00B25DA9">
        <w:rPr>
          <w:rFonts w:ascii="Times New Roman" w:hAnsi="Times New Roman" w:cs="Times New Roman"/>
          <w:sz w:val="24"/>
          <w:szCs w:val="24"/>
        </w:rPr>
        <w:softHyphen/>
        <w:t>dite osas. Selgitada, konkreetse näite varal, mida iseloomustab sisemine tulumäär (muuhulgas, kas tegu on oodatava, nõutava või realiseerunud tulumääraga).</w:t>
      </w:r>
    </w:p>
    <w:p w:rsidR="00C61548" w:rsidRPr="00C61548" w:rsidRDefault="00C61548" w:rsidP="00C61548">
      <w:pPr>
        <w:spacing w:after="0" w:line="240" w:lineRule="auto"/>
        <w:jc w:val="both"/>
        <w:rPr>
          <w:rFonts w:ascii="Times New Roman" w:hAnsi="Times New Roman" w:cs="Times New Roman"/>
          <w:sz w:val="24"/>
          <w:szCs w:val="24"/>
        </w:rPr>
      </w:pPr>
      <w:r w:rsidRPr="00C61548">
        <w:rPr>
          <w:rFonts w:ascii="Times New Roman" w:hAnsi="Times New Roman" w:cs="Times New Roman"/>
          <w:b/>
          <w:sz w:val="24"/>
          <w:szCs w:val="24"/>
        </w:rPr>
        <w:t>Vastus:</w:t>
      </w:r>
      <w:r w:rsidRPr="00C61548">
        <w:rPr>
          <w:rFonts w:ascii="Times New Roman" w:hAnsi="Times New Roman" w:cs="Times New Roman"/>
          <w:sz w:val="24"/>
          <w:szCs w:val="24"/>
        </w:rPr>
        <w:t xml:space="preserve"> IRR on tulumäär, mis võrdsustab kinnisvarast tulenevad oodatavad diskonteeritud rahavood (kas NOI- või BTCF-tasemel) tema soetusmaksumuse või praeguse väärtusega. IRR avaldub tingimuses, kus NPV=0. IRR näitab seda, kui suur on aastane tulusus lisaks esialgse investeeringu tagastumisele (</w:t>
      </w:r>
      <w:r w:rsidRPr="00C61548">
        <w:rPr>
          <w:rFonts w:ascii="Times New Roman" w:hAnsi="Times New Roman" w:cs="Times New Roman"/>
          <w:i/>
          <w:sz w:val="24"/>
          <w:szCs w:val="24"/>
        </w:rPr>
        <w:t>rate of return on invest</w:t>
      </w:r>
      <w:r w:rsidRPr="00C61548">
        <w:rPr>
          <w:rFonts w:ascii="Times New Roman" w:hAnsi="Times New Roman" w:cs="Times New Roman"/>
          <w:i/>
          <w:sz w:val="24"/>
          <w:szCs w:val="24"/>
        </w:rPr>
        <w:softHyphen/>
        <w:t>ment</w:t>
      </w:r>
      <w:r w:rsidRPr="00C61548">
        <w:rPr>
          <w:rFonts w:ascii="Times New Roman" w:hAnsi="Times New Roman" w:cs="Times New Roman"/>
          <w:sz w:val="24"/>
          <w:szCs w:val="24"/>
        </w:rPr>
        <w:t>). IRRi arvutamisel kasutatav valem avaldub järgmisel kujul:</w:t>
      </w:r>
    </w:p>
    <w:p w:rsidR="00C61548" w:rsidRPr="00C61548" w:rsidRDefault="00C61548" w:rsidP="00C61548">
      <w:pPr>
        <w:spacing w:line="240" w:lineRule="auto"/>
        <w:jc w:val="center"/>
      </w:pPr>
      <w:r w:rsidRPr="00C61548">
        <w:rPr>
          <w:rFonts w:ascii="Calibri" w:hAnsi="Calibri"/>
          <w:b/>
          <w:position w:val="-30"/>
          <w:sz w:val="18"/>
        </w:rPr>
        <w:object w:dxaOrig="18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3.2pt" o:ole="" fillcolor="window">
            <v:imagedata r:id="rId8" o:title=""/>
          </v:shape>
          <o:OLEObject Type="Embed" ProgID="Equation.3" ShapeID="_x0000_i1025" DrawAspect="Content" ObjectID="_1474294972" r:id="rId9"/>
        </w:object>
      </w:r>
    </w:p>
    <w:p w:rsidR="006B6704" w:rsidRPr="00B25DA9" w:rsidRDefault="006B6704" w:rsidP="006B6704">
      <w:pPr>
        <w:spacing w:after="0" w:line="240" w:lineRule="auto"/>
        <w:jc w:val="both"/>
        <w:rPr>
          <w:rFonts w:ascii="Times New Roman" w:hAnsi="Times New Roman" w:cs="Times New Roman"/>
          <w:sz w:val="24"/>
          <w:szCs w:val="24"/>
        </w:rPr>
      </w:pPr>
      <w:r w:rsidRPr="00B25DA9">
        <w:rPr>
          <w:rFonts w:ascii="Times New Roman" w:hAnsi="Times New Roman" w:cs="Times New Roman"/>
          <w:sz w:val="24"/>
          <w:szCs w:val="24"/>
        </w:rPr>
        <w:lastRenderedPageBreak/>
        <w:t xml:space="preserve">11. Selgitage palun, kuidas mõjutavad kinnisvara turuväärtust järgmised tegurid </w:t>
      </w:r>
      <w:r w:rsidRPr="00B25DA9">
        <w:rPr>
          <w:rFonts w:ascii="Times New Roman" w:hAnsi="Times New Roman" w:cs="Times New Roman"/>
          <w:i/>
          <w:sz w:val="24"/>
          <w:szCs w:val="24"/>
        </w:rPr>
        <w:t>ceteris paribus</w:t>
      </w:r>
      <w:r w:rsidRPr="00B25DA9">
        <w:rPr>
          <w:rFonts w:ascii="Times New Roman" w:hAnsi="Times New Roman" w:cs="Times New Roman"/>
          <w:sz w:val="24"/>
          <w:szCs w:val="24"/>
        </w:rPr>
        <w:t xml:space="preserve"> tingimusel:</w:t>
      </w:r>
    </w:p>
    <w:p w:rsidR="006B6704" w:rsidRPr="00B25DA9" w:rsidRDefault="006B6704" w:rsidP="006B6704">
      <w:pPr>
        <w:numPr>
          <w:ilvl w:val="1"/>
          <w:numId w:val="4"/>
        </w:numPr>
        <w:tabs>
          <w:tab w:val="clear" w:pos="1440"/>
          <w:tab w:val="num" w:pos="567"/>
        </w:tabs>
        <w:spacing w:after="0" w:line="240" w:lineRule="auto"/>
        <w:ind w:left="851" w:hanging="567"/>
        <w:jc w:val="both"/>
        <w:rPr>
          <w:rFonts w:ascii="Times New Roman" w:hAnsi="Times New Roman" w:cs="Times New Roman"/>
          <w:sz w:val="24"/>
          <w:szCs w:val="24"/>
        </w:rPr>
      </w:pPr>
      <w:r w:rsidRPr="00B25DA9">
        <w:rPr>
          <w:rFonts w:ascii="Times New Roman" w:hAnsi="Times New Roman" w:cs="Times New Roman"/>
          <w:sz w:val="24"/>
          <w:szCs w:val="24"/>
        </w:rPr>
        <w:t xml:space="preserve">üldine turuintressimäära tõus; </w:t>
      </w:r>
    </w:p>
    <w:p w:rsidR="006B6704" w:rsidRPr="00B25DA9" w:rsidRDefault="006B6704" w:rsidP="006B6704">
      <w:pPr>
        <w:numPr>
          <w:ilvl w:val="1"/>
          <w:numId w:val="4"/>
        </w:numPr>
        <w:tabs>
          <w:tab w:val="clear" w:pos="1440"/>
          <w:tab w:val="num" w:pos="567"/>
        </w:tabs>
        <w:spacing w:after="0" w:line="240" w:lineRule="auto"/>
        <w:ind w:left="851" w:hanging="567"/>
        <w:jc w:val="both"/>
        <w:rPr>
          <w:rFonts w:ascii="Times New Roman" w:hAnsi="Times New Roman" w:cs="Times New Roman"/>
          <w:sz w:val="24"/>
          <w:szCs w:val="24"/>
        </w:rPr>
      </w:pPr>
      <w:r w:rsidRPr="00B25DA9">
        <w:rPr>
          <w:rFonts w:ascii="Times New Roman" w:hAnsi="Times New Roman" w:cs="Times New Roman"/>
          <w:sz w:val="24"/>
          <w:szCs w:val="24"/>
        </w:rPr>
        <w:t xml:space="preserve">turuüüri taseme langus; </w:t>
      </w:r>
    </w:p>
    <w:p w:rsidR="006B6704" w:rsidRPr="00B25DA9" w:rsidRDefault="006B6704" w:rsidP="006B6704">
      <w:pPr>
        <w:numPr>
          <w:ilvl w:val="1"/>
          <w:numId w:val="4"/>
        </w:numPr>
        <w:tabs>
          <w:tab w:val="clear" w:pos="1440"/>
          <w:tab w:val="num" w:pos="567"/>
        </w:tabs>
        <w:spacing w:after="0" w:line="240" w:lineRule="auto"/>
        <w:ind w:left="851" w:hanging="567"/>
        <w:jc w:val="both"/>
        <w:rPr>
          <w:rFonts w:ascii="Times New Roman" w:hAnsi="Times New Roman" w:cs="Times New Roman"/>
          <w:sz w:val="24"/>
          <w:szCs w:val="24"/>
        </w:rPr>
      </w:pPr>
      <w:r w:rsidRPr="00B25DA9">
        <w:rPr>
          <w:rFonts w:ascii="Times New Roman" w:hAnsi="Times New Roman" w:cs="Times New Roman"/>
          <w:sz w:val="24"/>
          <w:szCs w:val="24"/>
        </w:rPr>
        <w:t xml:space="preserve">pangalaenu omafinantseerimismäära tõus; </w:t>
      </w:r>
    </w:p>
    <w:p w:rsidR="006B6704" w:rsidRPr="00B25DA9" w:rsidRDefault="006B6704" w:rsidP="006B6704">
      <w:pPr>
        <w:numPr>
          <w:ilvl w:val="1"/>
          <w:numId w:val="4"/>
        </w:numPr>
        <w:tabs>
          <w:tab w:val="clear" w:pos="1440"/>
          <w:tab w:val="num" w:pos="567"/>
        </w:tabs>
        <w:spacing w:after="0" w:line="240" w:lineRule="auto"/>
        <w:ind w:left="851" w:hanging="567"/>
        <w:jc w:val="both"/>
        <w:rPr>
          <w:rFonts w:ascii="Times New Roman" w:hAnsi="Times New Roman" w:cs="Times New Roman"/>
          <w:sz w:val="24"/>
          <w:szCs w:val="24"/>
        </w:rPr>
      </w:pPr>
      <w:r w:rsidRPr="00B25DA9">
        <w:rPr>
          <w:rFonts w:ascii="Times New Roman" w:hAnsi="Times New Roman" w:cs="Times New Roman"/>
          <w:sz w:val="24"/>
          <w:szCs w:val="24"/>
        </w:rPr>
        <w:t xml:space="preserve">SKP kasv; </w:t>
      </w:r>
    </w:p>
    <w:p w:rsidR="006B6704" w:rsidRDefault="006B6704" w:rsidP="006B6704">
      <w:pPr>
        <w:numPr>
          <w:ilvl w:val="1"/>
          <w:numId w:val="4"/>
        </w:numPr>
        <w:tabs>
          <w:tab w:val="clear" w:pos="1440"/>
          <w:tab w:val="num" w:pos="567"/>
        </w:tabs>
        <w:spacing w:after="0" w:line="240" w:lineRule="auto"/>
        <w:ind w:left="851" w:hanging="567"/>
        <w:jc w:val="both"/>
        <w:rPr>
          <w:rFonts w:ascii="Times New Roman" w:hAnsi="Times New Roman" w:cs="Times New Roman"/>
          <w:sz w:val="24"/>
          <w:szCs w:val="24"/>
        </w:rPr>
      </w:pPr>
      <w:r w:rsidRPr="00B25DA9">
        <w:rPr>
          <w:rFonts w:ascii="Times New Roman" w:hAnsi="Times New Roman" w:cs="Times New Roman"/>
          <w:sz w:val="24"/>
          <w:szCs w:val="24"/>
        </w:rPr>
        <w:t xml:space="preserve">Inflatsioonimäära alanemine. </w:t>
      </w:r>
    </w:p>
    <w:p w:rsidR="00C61548" w:rsidRDefault="00C61548" w:rsidP="00C61548">
      <w:pPr>
        <w:spacing w:after="0" w:line="240" w:lineRule="auto"/>
        <w:ind w:left="851"/>
        <w:jc w:val="both"/>
        <w:rPr>
          <w:rFonts w:ascii="Times New Roman" w:hAnsi="Times New Roman" w:cs="Times New Roman"/>
          <w:sz w:val="24"/>
          <w:szCs w:val="24"/>
        </w:rPr>
      </w:pPr>
    </w:p>
    <w:p w:rsidR="00C61548" w:rsidRPr="00C61548" w:rsidRDefault="00C61548" w:rsidP="00C61548">
      <w:pPr>
        <w:spacing w:line="240" w:lineRule="auto"/>
        <w:jc w:val="both"/>
        <w:rPr>
          <w:rFonts w:ascii="Times New Roman" w:hAnsi="Times New Roman" w:cs="Times New Roman"/>
          <w:sz w:val="24"/>
          <w:szCs w:val="24"/>
        </w:rPr>
      </w:pPr>
      <w:r w:rsidRPr="00C61548">
        <w:rPr>
          <w:rFonts w:ascii="Times New Roman" w:hAnsi="Times New Roman" w:cs="Times New Roman"/>
          <w:b/>
          <w:sz w:val="24"/>
          <w:szCs w:val="24"/>
        </w:rPr>
        <w:t>Vastus:</w:t>
      </w:r>
      <w:r w:rsidRPr="00C61548">
        <w:rPr>
          <w:rFonts w:ascii="Times New Roman" w:hAnsi="Times New Roman" w:cs="Times New Roman"/>
          <w:sz w:val="24"/>
          <w:szCs w:val="24"/>
        </w:rPr>
        <w:t xml:space="preserve"> (1) üldise turuintressimäära tõusu korral, kinnisvara turuväärtus üldjuhul langeb </w:t>
      </w:r>
      <w:r w:rsidRPr="00C61548">
        <w:rPr>
          <w:rFonts w:ascii="Times New Roman" w:hAnsi="Times New Roman" w:cs="Times New Roman"/>
          <w:i/>
          <w:sz w:val="24"/>
          <w:szCs w:val="24"/>
        </w:rPr>
        <w:t>ceteris paribus</w:t>
      </w:r>
      <w:r w:rsidRPr="00C61548">
        <w:rPr>
          <w:rFonts w:ascii="Times New Roman" w:hAnsi="Times New Roman" w:cs="Times New Roman"/>
          <w:sz w:val="24"/>
          <w:szCs w:val="24"/>
        </w:rPr>
        <w:t xml:space="preserve">; (2) turuüüritaseme languse mõjul langeb ka kinnisvara turuväärtus </w:t>
      </w:r>
      <w:r w:rsidRPr="00C61548">
        <w:rPr>
          <w:rFonts w:ascii="Times New Roman" w:hAnsi="Times New Roman" w:cs="Times New Roman"/>
          <w:i/>
          <w:sz w:val="24"/>
          <w:szCs w:val="24"/>
        </w:rPr>
        <w:t>cetersi paribus</w:t>
      </w:r>
      <w:r w:rsidRPr="00C61548">
        <w:rPr>
          <w:rFonts w:ascii="Times New Roman" w:hAnsi="Times New Roman" w:cs="Times New Roman"/>
          <w:sz w:val="24"/>
          <w:szCs w:val="24"/>
        </w:rPr>
        <w:t>; (3) juhul, kui pank suu</w:t>
      </w:r>
      <w:r w:rsidRPr="00C61548">
        <w:rPr>
          <w:rFonts w:ascii="Times New Roman" w:hAnsi="Times New Roman" w:cs="Times New Roman"/>
          <w:sz w:val="24"/>
          <w:szCs w:val="24"/>
        </w:rPr>
        <w:softHyphen/>
      </w:r>
      <w:r w:rsidRPr="00C61548">
        <w:rPr>
          <w:rFonts w:ascii="Times New Roman" w:hAnsi="Times New Roman" w:cs="Times New Roman"/>
          <w:sz w:val="24"/>
          <w:szCs w:val="24"/>
        </w:rPr>
        <w:softHyphen/>
        <w:t xml:space="preserve">rendab omafinantseerimise taset, langetab see kinnisvara turuväärtust </w:t>
      </w:r>
      <w:r w:rsidRPr="00C61548">
        <w:rPr>
          <w:rFonts w:ascii="Times New Roman" w:hAnsi="Times New Roman" w:cs="Times New Roman"/>
          <w:i/>
          <w:sz w:val="24"/>
          <w:szCs w:val="24"/>
        </w:rPr>
        <w:t>ceteris paribus</w:t>
      </w:r>
      <w:r w:rsidRPr="00C61548">
        <w:rPr>
          <w:rFonts w:ascii="Times New Roman" w:hAnsi="Times New Roman" w:cs="Times New Roman"/>
          <w:sz w:val="24"/>
          <w:szCs w:val="24"/>
        </w:rPr>
        <w:t>; (4) SKP posi</w:t>
      </w:r>
      <w:r w:rsidRPr="00C61548">
        <w:rPr>
          <w:rFonts w:ascii="Times New Roman" w:hAnsi="Times New Roman" w:cs="Times New Roman"/>
          <w:sz w:val="24"/>
          <w:szCs w:val="24"/>
        </w:rPr>
        <w:softHyphen/>
        <w:t>tiiv</w:t>
      </w:r>
      <w:r w:rsidRPr="00C61548">
        <w:rPr>
          <w:rFonts w:ascii="Times New Roman" w:hAnsi="Times New Roman" w:cs="Times New Roman"/>
          <w:sz w:val="24"/>
          <w:szCs w:val="24"/>
        </w:rPr>
        <w:softHyphen/>
        <w:t>se kasvu korral kasvab ka kinnisvara väärtus, SKP negatiivne kasv tingib kinnisvara väär</w:t>
      </w:r>
      <w:r w:rsidRPr="00C61548">
        <w:rPr>
          <w:rFonts w:ascii="Times New Roman" w:hAnsi="Times New Roman" w:cs="Times New Roman"/>
          <w:sz w:val="24"/>
          <w:szCs w:val="24"/>
        </w:rPr>
        <w:softHyphen/>
        <w:t xml:space="preserve">tuse languse </w:t>
      </w:r>
      <w:r w:rsidRPr="00C61548">
        <w:rPr>
          <w:rFonts w:ascii="Times New Roman" w:hAnsi="Times New Roman" w:cs="Times New Roman"/>
          <w:i/>
          <w:sz w:val="24"/>
          <w:szCs w:val="24"/>
        </w:rPr>
        <w:t>ce</w:t>
      </w:r>
      <w:r w:rsidRPr="00C61548">
        <w:rPr>
          <w:rFonts w:ascii="Times New Roman" w:hAnsi="Times New Roman" w:cs="Times New Roman"/>
          <w:i/>
          <w:sz w:val="24"/>
          <w:szCs w:val="24"/>
        </w:rPr>
        <w:softHyphen/>
        <w:t>te</w:t>
      </w:r>
      <w:r w:rsidRPr="00C61548">
        <w:rPr>
          <w:rFonts w:ascii="Times New Roman" w:hAnsi="Times New Roman" w:cs="Times New Roman"/>
          <w:i/>
          <w:sz w:val="24"/>
          <w:szCs w:val="24"/>
        </w:rPr>
        <w:softHyphen/>
        <w:t>ris paribus</w:t>
      </w:r>
      <w:r w:rsidRPr="00C61548">
        <w:rPr>
          <w:rFonts w:ascii="Times New Roman" w:hAnsi="Times New Roman" w:cs="Times New Roman"/>
          <w:sz w:val="24"/>
          <w:szCs w:val="24"/>
        </w:rPr>
        <w:t>; (5) inflat</w:t>
      </w:r>
      <w:r w:rsidRPr="00C61548">
        <w:rPr>
          <w:rFonts w:ascii="Times New Roman" w:hAnsi="Times New Roman" w:cs="Times New Roman"/>
          <w:sz w:val="24"/>
          <w:szCs w:val="24"/>
        </w:rPr>
        <w:softHyphen/>
        <w:t>siooni</w:t>
      </w:r>
      <w:r w:rsidRPr="00C61548">
        <w:rPr>
          <w:rFonts w:ascii="Times New Roman" w:hAnsi="Times New Roman" w:cs="Times New Roman"/>
          <w:sz w:val="24"/>
          <w:szCs w:val="24"/>
        </w:rPr>
        <w:softHyphen/>
        <w:t xml:space="preserve">määra alanemine tingib kinnisvara turuväärtuse kasvu pidurdumise või isegi languse </w:t>
      </w:r>
      <w:r w:rsidRPr="00C61548">
        <w:rPr>
          <w:rFonts w:ascii="Times New Roman" w:hAnsi="Times New Roman" w:cs="Times New Roman"/>
          <w:i/>
          <w:sz w:val="24"/>
          <w:szCs w:val="24"/>
        </w:rPr>
        <w:t>ceteris paribus</w:t>
      </w:r>
      <w:r w:rsidRPr="00C61548">
        <w:rPr>
          <w:rFonts w:ascii="Times New Roman" w:hAnsi="Times New Roman" w:cs="Times New Roman"/>
          <w:sz w:val="24"/>
          <w:szCs w:val="24"/>
        </w:rPr>
        <w:t>.</w:t>
      </w:r>
    </w:p>
    <w:p w:rsidR="006B6704" w:rsidRPr="00B25DA9" w:rsidRDefault="006B6704" w:rsidP="00C61548">
      <w:pPr>
        <w:tabs>
          <w:tab w:val="num" w:pos="1134"/>
        </w:tabs>
        <w:spacing w:after="0" w:line="240" w:lineRule="auto"/>
        <w:jc w:val="both"/>
        <w:rPr>
          <w:rFonts w:ascii="Times New Roman" w:hAnsi="Times New Roman" w:cs="Times New Roman"/>
          <w:sz w:val="24"/>
          <w:szCs w:val="24"/>
        </w:rPr>
      </w:pPr>
    </w:p>
    <w:p w:rsidR="006B6704" w:rsidRPr="00BD4407" w:rsidRDefault="006B6704" w:rsidP="006B6704">
      <w:pPr>
        <w:pStyle w:val="Default"/>
        <w:spacing w:after="39"/>
        <w:jc w:val="both"/>
        <w:rPr>
          <w:rFonts w:ascii="Times New Roman" w:hAnsi="Times New Roman" w:cs="Times New Roman"/>
        </w:rPr>
      </w:pPr>
      <w:r w:rsidRPr="00BD4407">
        <w:rPr>
          <w:rFonts w:ascii="Times New Roman" w:hAnsi="Times New Roman" w:cs="Times New Roman"/>
        </w:rPr>
        <w:t xml:space="preserve">12. Omaniku X omandis olev kinnisasi on koormatud hüpoteekidega järgmiselt: </w:t>
      </w:r>
    </w:p>
    <w:p w:rsidR="006B6704" w:rsidRPr="00BD4407" w:rsidRDefault="006B6704" w:rsidP="006B6704">
      <w:pPr>
        <w:pStyle w:val="Default"/>
        <w:spacing w:after="39"/>
        <w:jc w:val="both"/>
        <w:rPr>
          <w:rFonts w:ascii="Times New Roman" w:hAnsi="Times New Roman" w:cs="Times New Roman"/>
        </w:rPr>
      </w:pPr>
      <w:r w:rsidRPr="00BD4407">
        <w:rPr>
          <w:rFonts w:ascii="Times New Roman" w:hAnsi="Times New Roman" w:cs="Times New Roman"/>
        </w:rPr>
        <w:t xml:space="preserve">- hüpoteegipidaja A kasuks on seatud hüpoteek esimesele järjekohale hüpoteegisummaga 10 000 eurot, samas on nimetatud hüpoteegiga tagatud hüpoteegipidaja A nõue laenusaaja Y vastu, kusjuures nimetatud laenunõude suuruseks on 8 000 eurot; </w:t>
      </w:r>
    </w:p>
    <w:p w:rsidR="006B6704" w:rsidRPr="00BD4407" w:rsidRDefault="006B6704" w:rsidP="006B6704">
      <w:pPr>
        <w:pStyle w:val="Default"/>
        <w:jc w:val="both"/>
        <w:rPr>
          <w:rFonts w:ascii="Times New Roman" w:hAnsi="Times New Roman" w:cs="Times New Roman"/>
        </w:rPr>
      </w:pPr>
      <w:r w:rsidRPr="00BD4407">
        <w:rPr>
          <w:rFonts w:ascii="Times New Roman" w:hAnsi="Times New Roman" w:cs="Times New Roman"/>
        </w:rPr>
        <w:t xml:space="preserve">- hüpoteegipidaja B kasuks on seatud hüpoteek teisele järjekohale hüpoteegisummaga 20 000 eurot, samas on nimetatud hüpoteegiga tagatud hüpoteegipidaja B nõue laenusaaja Z vastu, kusjuures nimetatud laenunõude suuruseks on 8 000 eurot. </w:t>
      </w:r>
    </w:p>
    <w:p w:rsidR="006B6704" w:rsidRPr="00BD4407" w:rsidRDefault="006B6704" w:rsidP="006B6704">
      <w:pPr>
        <w:pStyle w:val="Default"/>
        <w:jc w:val="both"/>
        <w:rPr>
          <w:rFonts w:ascii="Times New Roman" w:hAnsi="Times New Roman" w:cs="Times New Roman"/>
        </w:rPr>
      </w:pPr>
      <w:r w:rsidRPr="00BD4407">
        <w:rPr>
          <w:rFonts w:ascii="Times New Roman" w:hAnsi="Times New Roman" w:cs="Times New Roman"/>
        </w:rPr>
        <w:t xml:space="preserve">Kelle vahel ja millistes summades jaguneb sundenampakkumisel kinnisasja müügist saadud 15 000 eurot, kui kinnisasi müüdi mõlema hüpoteegipidaja nõuete katteks (arvestamata kohtutäiturit ja täitemenetluse kulusid)? Põhjendage! </w:t>
      </w:r>
    </w:p>
    <w:p w:rsidR="00CF4452" w:rsidRPr="00CF4452" w:rsidRDefault="00CF4452" w:rsidP="00CF4452">
      <w:pPr>
        <w:autoSpaceDE w:val="0"/>
        <w:autoSpaceDN w:val="0"/>
        <w:adjustRightInd w:val="0"/>
        <w:spacing w:after="0" w:line="240" w:lineRule="auto"/>
        <w:rPr>
          <w:rFonts w:ascii="Times New Roman" w:hAnsi="Times New Roman" w:cs="Times New Roman"/>
          <w:color w:val="000000"/>
          <w:sz w:val="24"/>
          <w:szCs w:val="24"/>
        </w:rPr>
      </w:pPr>
      <w:r w:rsidRPr="00CF4452">
        <w:rPr>
          <w:rFonts w:ascii="Times New Roman" w:hAnsi="Times New Roman" w:cs="Times New Roman"/>
          <w:b/>
          <w:color w:val="000000"/>
          <w:sz w:val="24"/>
          <w:szCs w:val="24"/>
        </w:rPr>
        <w:t>Vastus:</w:t>
      </w:r>
      <w:r w:rsidRPr="00CF4452">
        <w:rPr>
          <w:rFonts w:ascii="Times New Roman" w:hAnsi="Times New Roman" w:cs="Times New Roman"/>
          <w:color w:val="000000"/>
          <w:sz w:val="24"/>
          <w:szCs w:val="24"/>
        </w:rPr>
        <w:t xml:space="preserve"> Hüpoteegipidaja A saab 8 000 eurot, hüpoteegipidaja B saab 7 000 eurot. Kõigepealt rahuldatakse I järjekohal asuva hüpoteegi hüpoteegipidaja nõuded ja seejärel II järjekohal asuva hüpoteegi hüpoteegipidaja nõuded. (AÕS § 353) </w:t>
      </w:r>
    </w:p>
    <w:p w:rsidR="006B6704" w:rsidRPr="00BD4407" w:rsidRDefault="006B6704" w:rsidP="006B6704">
      <w:pPr>
        <w:pStyle w:val="Default"/>
        <w:jc w:val="both"/>
        <w:rPr>
          <w:rFonts w:ascii="Times New Roman" w:hAnsi="Times New Roman" w:cs="Times New Roman"/>
        </w:rPr>
      </w:pPr>
    </w:p>
    <w:p w:rsidR="006B6704" w:rsidRPr="00BD4407" w:rsidRDefault="006B6704" w:rsidP="006B6704">
      <w:pPr>
        <w:pStyle w:val="Default"/>
        <w:jc w:val="both"/>
        <w:rPr>
          <w:rFonts w:ascii="Times New Roman" w:hAnsi="Times New Roman" w:cs="Times New Roman"/>
        </w:rPr>
      </w:pPr>
      <w:r w:rsidRPr="00BD4407">
        <w:rPr>
          <w:rFonts w:ascii="Times New Roman" w:hAnsi="Times New Roman" w:cs="Times New Roman"/>
        </w:rPr>
        <w:t xml:space="preserve">13. Loetlege võlasuhte tekkimise alused! </w:t>
      </w:r>
    </w:p>
    <w:p w:rsidR="00CF4452" w:rsidRPr="00CF4452" w:rsidRDefault="00CF4452" w:rsidP="00CF4452">
      <w:pPr>
        <w:autoSpaceDE w:val="0"/>
        <w:autoSpaceDN w:val="0"/>
        <w:adjustRightInd w:val="0"/>
        <w:spacing w:after="0" w:line="240" w:lineRule="auto"/>
        <w:rPr>
          <w:rFonts w:ascii="Times New Roman" w:hAnsi="Times New Roman" w:cs="Times New Roman"/>
          <w:color w:val="000000"/>
          <w:sz w:val="24"/>
          <w:szCs w:val="24"/>
        </w:rPr>
      </w:pPr>
      <w:r w:rsidRPr="00CF4452">
        <w:rPr>
          <w:rFonts w:ascii="Times New Roman" w:hAnsi="Times New Roman" w:cs="Times New Roman"/>
          <w:b/>
          <w:color w:val="000000"/>
          <w:sz w:val="24"/>
          <w:szCs w:val="24"/>
        </w:rPr>
        <w:t>Vastus:</w:t>
      </w:r>
      <w:r w:rsidRPr="00CF4452">
        <w:rPr>
          <w:rFonts w:ascii="Times New Roman" w:hAnsi="Times New Roman" w:cs="Times New Roman"/>
          <w:color w:val="000000"/>
          <w:sz w:val="24"/>
          <w:szCs w:val="24"/>
        </w:rPr>
        <w:t xml:space="preserve"> leping, kahju õigusvastane tekitamine, alusetu rikastumine, käsundita asjaajamine, tasu avalik lubamine. (VÕS § 3) </w:t>
      </w:r>
    </w:p>
    <w:p w:rsidR="00CF4452" w:rsidRDefault="00CF4452" w:rsidP="006B6704">
      <w:pPr>
        <w:pStyle w:val="Default"/>
        <w:jc w:val="both"/>
        <w:rPr>
          <w:rFonts w:ascii="Times New Roman" w:hAnsi="Times New Roman" w:cs="Times New Roman"/>
        </w:rPr>
      </w:pPr>
    </w:p>
    <w:p w:rsidR="006B6704" w:rsidRDefault="006B6704" w:rsidP="006B6704">
      <w:pPr>
        <w:pStyle w:val="Default"/>
        <w:jc w:val="both"/>
        <w:rPr>
          <w:rFonts w:ascii="Times New Roman" w:hAnsi="Times New Roman" w:cs="Times New Roman"/>
        </w:rPr>
      </w:pPr>
      <w:r w:rsidRPr="00BD4407">
        <w:rPr>
          <w:rFonts w:ascii="Times New Roman" w:hAnsi="Times New Roman" w:cs="Times New Roman"/>
        </w:rPr>
        <w:t xml:space="preserve">14. Avage isiklike servituutide (kasutusvaldus ja isiklik kasutusõigus) mõisted! Mis on isiklike servituutide ja reaalservituutide peamine erinevus? </w:t>
      </w:r>
    </w:p>
    <w:p w:rsidR="00CF4452" w:rsidRPr="00CF4452" w:rsidRDefault="00CF4452" w:rsidP="00CF4452">
      <w:pPr>
        <w:autoSpaceDE w:val="0"/>
        <w:autoSpaceDN w:val="0"/>
        <w:adjustRightInd w:val="0"/>
        <w:spacing w:after="0" w:line="240" w:lineRule="auto"/>
        <w:jc w:val="both"/>
        <w:rPr>
          <w:rFonts w:ascii="Times New Roman" w:hAnsi="Times New Roman" w:cs="Times New Roman"/>
          <w:color w:val="000000"/>
          <w:sz w:val="24"/>
          <w:szCs w:val="24"/>
        </w:rPr>
      </w:pPr>
      <w:r w:rsidRPr="00CF4452">
        <w:rPr>
          <w:rFonts w:ascii="Times New Roman" w:hAnsi="Times New Roman" w:cs="Times New Roman"/>
          <w:b/>
          <w:color w:val="000000"/>
          <w:sz w:val="24"/>
          <w:szCs w:val="24"/>
        </w:rPr>
        <w:t>Vastus:</w:t>
      </w:r>
      <w:r w:rsidRPr="00CF4452">
        <w:rPr>
          <w:rFonts w:ascii="Times New Roman" w:hAnsi="Times New Roman" w:cs="Times New Roman"/>
          <w:color w:val="000000"/>
          <w:sz w:val="24"/>
          <w:szCs w:val="24"/>
        </w:rPr>
        <w:t xml:space="preserve"> Kasutusvaldus koormab kinnisasja selliselt, et isik, kelle kasuks kasutusvaldus on seatud, on õigustatud kasutama kinnisasja ja omandama selle vilju. Isiklik kasutusõigus koormab kinnisasja selliselt, et isik, kelle kasuks see on seatud, on õigustatud kinnisasja teatud viisil kasutama või teostama kinnisasja suhtes teatud õigust, mis oma sisult vastab mõnele reaalservituudile. Isiklikud servituudid on seatud konkreetse isiku kasuks, reaalservituudid on seatud aga valitseva kinnisasja (igakordse omaniku) kasuks. (AÕS § 201, § 225, § 172) </w:t>
      </w:r>
    </w:p>
    <w:p w:rsidR="00CF4452" w:rsidRDefault="00CF4452" w:rsidP="00CF4452">
      <w:pPr>
        <w:pStyle w:val="Default"/>
        <w:jc w:val="both"/>
        <w:rPr>
          <w:rFonts w:ascii="Times New Roman" w:hAnsi="Times New Roman" w:cs="Times New Roman"/>
        </w:rPr>
      </w:pPr>
    </w:p>
    <w:p w:rsidR="006B6704" w:rsidRPr="00BD4407" w:rsidRDefault="006B6704" w:rsidP="00CF4452">
      <w:pPr>
        <w:pStyle w:val="Default"/>
        <w:jc w:val="both"/>
        <w:rPr>
          <w:rFonts w:ascii="Times New Roman" w:hAnsi="Times New Roman" w:cs="Times New Roman"/>
        </w:rPr>
      </w:pPr>
    </w:p>
    <w:p w:rsidR="00CF4452" w:rsidRPr="00BD4407" w:rsidRDefault="006B6704" w:rsidP="00CF4452">
      <w:pPr>
        <w:pStyle w:val="Default"/>
        <w:jc w:val="both"/>
        <w:rPr>
          <w:rFonts w:ascii="Times New Roman" w:hAnsi="Times New Roman" w:cs="Times New Roman"/>
        </w:rPr>
      </w:pPr>
      <w:r w:rsidRPr="00BD4407">
        <w:rPr>
          <w:rFonts w:ascii="Times New Roman" w:hAnsi="Times New Roman" w:cs="Times New Roman"/>
        </w:rPr>
        <w:t>15. Millised võivad olla detailplaneeringu ülesanded (loe</w:t>
      </w:r>
      <w:r>
        <w:rPr>
          <w:rFonts w:ascii="Times New Roman" w:hAnsi="Times New Roman" w:cs="Times New Roman"/>
        </w:rPr>
        <w:t>tlege vähemalt viis ülesannet)?</w:t>
      </w:r>
    </w:p>
    <w:p w:rsidR="00CF4452" w:rsidRPr="00CF4452" w:rsidRDefault="00CF4452" w:rsidP="00CF4452">
      <w:pPr>
        <w:autoSpaceDE w:val="0"/>
        <w:autoSpaceDN w:val="0"/>
        <w:adjustRightInd w:val="0"/>
        <w:spacing w:after="0" w:line="240" w:lineRule="auto"/>
        <w:jc w:val="both"/>
        <w:rPr>
          <w:rFonts w:ascii="Times New Roman" w:hAnsi="Times New Roman" w:cs="Times New Roman"/>
          <w:color w:val="000000"/>
          <w:sz w:val="24"/>
          <w:szCs w:val="24"/>
        </w:rPr>
      </w:pPr>
      <w:r w:rsidRPr="00CF4452">
        <w:rPr>
          <w:rFonts w:ascii="Times New Roman" w:hAnsi="Times New Roman" w:cs="Times New Roman"/>
          <w:b/>
          <w:color w:val="000000"/>
          <w:sz w:val="24"/>
          <w:szCs w:val="24"/>
        </w:rPr>
        <w:t>Vastus:</w:t>
      </w:r>
      <w:r w:rsidRPr="00CF4452">
        <w:rPr>
          <w:rFonts w:ascii="Times New Roman" w:hAnsi="Times New Roman" w:cs="Times New Roman"/>
          <w:color w:val="000000"/>
          <w:sz w:val="24"/>
          <w:szCs w:val="24"/>
        </w:rPr>
        <w:t xml:space="preserve"> 1) planeeritava maa-ala kruntideks jaotamine; krundi ehitusõiguse määramine; 2) krundi hoonestusala, see tähendab krundi osa, kuhu võib rajada krundi ehitusõigusega lubatud hooneid, piiritlemine; 3) tänavate maa-alade ja liikluskorralduse määramine ning vajaduse korral eraõigusliku isiku maal asuva, olemasoleva või kavandatava tänava avalikult kasutatavaks teeks määramine teesead</w:t>
      </w:r>
      <w:bookmarkStart w:id="4" w:name="_GoBack"/>
      <w:bookmarkEnd w:id="4"/>
      <w:r w:rsidRPr="00CF4452">
        <w:rPr>
          <w:rFonts w:ascii="Times New Roman" w:hAnsi="Times New Roman" w:cs="Times New Roman"/>
          <w:color w:val="000000"/>
          <w:sz w:val="24"/>
          <w:szCs w:val="24"/>
        </w:rPr>
        <w:t xml:space="preserve">uses sätestatud korras; 4) haljastuse ja heakorrastuse põhimõtete määramine; kujade määramine; tehnovõrkude ja -rajatiste asukoha määramine; 5) keskkonnatingimuste seadmine planeeringuga kavandatu elluviimiseks ja vajaduse korral ehitiste määramine, mille ehitusprojekti koostamisel on vaja läbi viia keskkonnamõju hindamine; 6) vajaduse korral ettepanekute tegemine kaitse alla võetud maa-alade ja üksikobjektide kaitserežiimi täpsustamiseks, muutmiseks või lõpetamiseks; 7) vajaduse korral ettepanekute tegemine maa-alade või üksikobjektide kaitse alla võtmiseks; 8) vajaduse korral miljööväärtusega hoonestusalade määramine ning nende kaitse- ja kasutamistingimuste seadmine; 9) hoone olulisemate arhitektuurinõuete ning vajaduse korral rajatise ehitus- ja kujundusnõuete seadmine; servituutide vajaduse määramine; 10) vajaduse korral riigikaitselise otstarbega maa-alade määramine; 11) kuritegevuse riske vähendavate nõuete ja tingimuste seadmine; 12) muude seadustest ja teistest õigusaktidest tulenevate kinnisomandi kitsenduste ulatuse määramine planeeritaval maa-alal. (PlanS § 9) </w:t>
      </w:r>
    </w:p>
    <w:p w:rsidR="006B6704" w:rsidRDefault="006B6704" w:rsidP="006B6704">
      <w:pPr>
        <w:pStyle w:val="Loendnumber"/>
        <w:numPr>
          <w:ilvl w:val="0"/>
          <w:numId w:val="0"/>
        </w:numPr>
        <w:ind w:left="357" w:hanging="357"/>
        <w:rPr>
          <w:rFonts w:ascii="Times New Roman" w:hAnsi="Times New Roman" w:cs="Times New Roman"/>
          <w:sz w:val="24"/>
          <w:szCs w:val="24"/>
        </w:rPr>
      </w:pPr>
    </w:p>
    <w:p w:rsidR="006B6704" w:rsidRDefault="006B6704" w:rsidP="006B6704">
      <w:pPr>
        <w:pStyle w:val="Loendnumber"/>
        <w:numPr>
          <w:ilvl w:val="0"/>
          <w:numId w:val="0"/>
        </w:numPr>
        <w:ind w:left="357" w:hanging="357"/>
        <w:rPr>
          <w:rFonts w:ascii="Times New Roman" w:hAnsi="Times New Roman" w:cs="Times New Roman"/>
          <w:sz w:val="24"/>
          <w:szCs w:val="24"/>
        </w:rPr>
      </w:pPr>
    </w:p>
    <w:p w:rsidR="005D6D4B" w:rsidRPr="005D6D4B" w:rsidRDefault="005D6D4B" w:rsidP="005D6D4B">
      <w:pPr>
        <w:spacing w:before="240" w:after="100" w:afterAutospacing="1" w:line="240" w:lineRule="auto"/>
        <w:ind w:left="720"/>
        <w:jc w:val="both"/>
        <w:rPr>
          <w:rFonts w:ascii="Times New Roman" w:eastAsia="Times New Roman" w:hAnsi="Times New Roman" w:cs="Times New Roman"/>
          <w:b/>
          <w:sz w:val="24"/>
          <w:szCs w:val="24"/>
        </w:rPr>
      </w:pPr>
    </w:p>
    <w:p w:rsidR="005D6D4B" w:rsidRDefault="005D6D4B"/>
    <w:sectPr w:rsidR="005D6D4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452" w:rsidRDefault="00CF4452" w:rsidP="00CF4452">
      <w:pPr>
        <w:spacing w:after="0" w:line="240" w:lineRule="auto"/>
      </w:pPr>
      <w:r>
        <w:separator/>
      </w:r>
    </w:p>
  </w:endnote>
  <w:endnote w:type="continuationSeparator" w:id="0">
    <w:p w:rsidR="00CF4452" w:rsidRDefault="00CF4452" w:rsidP="00CF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93"/>
      <w:docPartObj>
        <w:docPartGallery w:val="Page Numbers (Bottom of Page)"/>
        <w:docPartUnique/>
      </w:docPartObj>
    </w:sdtPr>
    <w:sdtContent>
      <w:p w:rsidR="00CF4452" w:rsidRDefault="00CF4452">
        <w:pPr>
          <w:pStyle w:val="Footer"/>
          <w:jc w:val="right"/>
        </w:pPr>
        <w:r>
          <w:fldChar w:fldCharType="begin"/>
        </w:r>
        <w:r>
          <w:instrText>PAGE   \* MERGEFORMAT</w:instrText>
        </w:r>
        <w:r>
          <w:fldChar w:fldCharType="separate"/>
        </w:r>
        <w:r>
          <w:rPr>
            <w:noProof/>
          </w:rPr>
          <w:t>4</w:t>
        </w:r>
        <w:r>
          <w:fldChar w:fldCharType="end"/>
        </w:r>
      </w:p>
    </w:sdtContent>
  </w:sdt>
  <w:p w:rsidR="00CF4452" w:rsidRDefault="00CF4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452" w:rsidRDefault="00CF4452" w:rsidP="00CF4452">
      <w:pPr>
        <w:spacing w:after="0" w:line="240" w:lineRule="auto"/>
      </w:pPr>
      <w:r>
        <w:separator/>
      </w:r>
    </w:p>
  </w:footnote>
  <w:footnote w:type="continuationSeparator" w:id="0">
    <w:p w:rsidR="00CF4452" w:rsidRDefault="00CF4452" w:rsidP="00CF4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491C"/>
    <w:multiLevelType w:val="hybridMultilevel"/>
    <w:tmpl w:val="0FACB542"/>
    <w:lvl w:ilvl="0" w:tplc="1C5091B2">
      <w:start w:val="12"/>
      <w:numFmt w:val="bullet"/>
      <w:lvlText w:val="-"/>
      <w:lvlJc w:val="left"/>
      <w:pPr>
        <w:tabs>
          <w:tab w:val="num" w:pos="1140"/>
        </w:tabs>
        <w:ind w:left="1140" w:hanging="360"/>
      </w:pPr>
      <w:rPr>
        <w:rFonts w:ascii="Times New Roman" w:eastAsia="Times New Roman" w:hAnsi="Times New Roman" w:cs="Times New Roman" w:hint="default"/>
      </w:rPr>
    </w:lvl>
    <w:lvl w:ilvl="1" w:tplc="04250003" w:tentative="1">
      <w:start w:val="1"/>
      <w:numFmt w:val="bullet"/>
      <w:lvlText w:val="o"/>
      <w:lvlJc w:val="left"/>
      <w:pPr>
        <w:tabs>
          <w:tab w:val="num" w:pos="2160"/>
        </w:tabs>
        <w:ind w:left="2160" w:hanging="360"/>
      </w:pPr>
      <w:rPr>
        <w:rFonts w:ascii="Courier New" w:hAnsi="Courier New" w:cs="Courier New" w:hint="default"/>
      </w:rPr>
    </w:lvl>
    <w:lvl w:ilvl="2" w:tplc="04250005" w:tentative="1">
      <w:start w:val="1"/>
      <w:numFmt w:val="bullet"/>
      <w:lvlText w:val=""/>
      <w:lvlJc w:val="left"/>
      <w:pPr>
        <w:tabs>
          <w:tab w:val="num" w:pos="2880"/>
        </w:tabs>
        <w:ind w:left="2880" w:hanging="360"/>
      </w:pPr>
      <w:rPr>
        <w:rFonts w:ascii="Wingdings" w:hAnsi="Wingdings" w:hint="default"/>
      </w:rPr>
    </w:lvl>
    <w:lvl w:ilvl="3" w:tplc="04250001" w:tentative="1">
      <w:start w:val="1"/>
      <w:numFmt w:val="bullet"/>
      <w:lvlText w:val=""/>
      <w:lvlJc w:val="left"/>
      <w:pPr>
        <w:tabs>
          <w:tab w:val="num" w:pos="3600"/>
        </w:tabs>
        <w:ind w:left="3600" w:hanging="360"/>
      </w:pPr>
      <w:rPr>
        <w:rFonts w:ascii="Symbol" w:hAnsi="Symbol" w:hint="default"/>
      </w:rPr>
    </w:lvl>
    <w:lvl w:ilvl="4" w:tplc="04250003" w:tentative="1">
      <w:start w:val="1"/>
      <w:numFmt w:val="bullet"/>
      <w:lvlText w:val="o"/>
      <w:lvlJc w:val="left"/>
      <w:pPr>
        <w:tabs>
          <w:tab w:val="num" w:pos="4320"/>
        </w:tabs>
        <w:ind w:left="4320" w:hanging="360"/>
      </w:pPr>
      <w:rPr>
        <w:rFonts w:ascii="Courier New" w:hAnsi="Courier New" w:cs="Courier New" w:hint="default"/>
      </w:rPr>
    </w:lvl>
    <w:lvl w:ilvl="5" w:tplc="04250005" w:tentative="1">
      <w:start w:val="1"/>
      <w:numFmt w:val="bullet"/>
      <w:lvlText w:val=""/>
      <w:lvlJc w:val="left"/>
      <w:pPr>
        <w:tabs>
          <w:tab w:val="num" w:pos="5040"/>
        </w:tabs>
        <w:ind w:left="5040" w:hanging="360"/>
      </w:pPr>
      <w:rPr>
        <w:rFonts w:ascii="Wingdings" w:hAnsi="Wingdings" w:hint="default"/>
      </w:rPr>
    </w:lvl>
    <w:lvl w:ilvl="6" w:tplc="04250001" w:tentative="1">
      <w:start w:val="1"/>
      <w:numFmt w:val="bullet"/>
      <w:lvlText w:val=""/>
      <w:lvlJc w:val="left"/>
      <w:pPr>
        <w:tabs>
          <w:tab w:val="num" w:pos="5760"/>
        </w:tabs>
        <w:ind w:left="5760" w:hanging="360"/>
      </w:pPr>
      <w:rPr>
        <w:rFonts w:ascii="Symbol" w:hAnsi="Symbol" w:hint="default"/>
      </w:rPr>
    </w:lvl>
    <w:lvl w:ilvl="7" w:tplc="04250003" w:tentative="1">
      <w:start w:val="1"/>
      <w:numFmt w:val="bullet"/>
      <w:lvlText w:val="o"/>
      <w:lvlJc w:val="left"/>
      <w:pPr>
        <w:tabs>
          <w:tab w:val="num" w:pos="6480"/>
        </w:tabs>
        <w:ind w:left="6480" w:hanging="360"/>
      </w:pPr>
      <w:rPr>
        <w:rFonts w:ascii="Courier New" w:hAnsi="Courier New" w:cs="Courier New" w:hint="default"/>
      </w:rPr>
    </w:lvl>
    <w:lvl w:ilvl="8" w:tplc="04250005" w:tentative="1">
      <w:start w:val="1"/>
      <w:numFmt w:val="bullet"/>
      <w:lvlText w:val=""/>
      <w:lvlJc w:val="left"/>
      <w:pPr>
        <w:tabs>
          <w:tab w:val="num" w:pos="7200"/>
        </w:tabs>
        <w:ind w:left="7200" w:hanging="360"/>
      </w:pPr>
      <w:rPr>
        <w:rFonts w:ascii="Wingdings" w:hAnsi="Wingdings" w:hint="default"/>
      </w:rPr>
    </w:lvl>
  </w:abstractNum>
  <w:abstractNum w:abstractNumId="1">
    <w:nsid w:val="2B884E6B"/>
    <w:multiLevelType w:val="hybridMultilevel"/>
    <w:tmpl w:val="0D500610"/>
    <w:lvl w:ilvl="0" w:tplc="0270EA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FD467D"/>
    <w:multiLevelType w:val="hybridMultilevel"/>
    <w:tmpl w:val="4CCCC2E4"/>
    <w:lvl w:ilvl="0" w:tplc="3B28BF52">
      <w:start w:val="1"/>
      <w:numFmt w:val="decimal"/>
      <w:pStyle w:val="Loendnumb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5F593440"/>
    <w:multiLevelType w:val="hybridMultilevel"/>
    <w:tmpl w:val="68668040"/>
    <w:lvl w:ilvl="0" w:tplc="DD242BD4">
      <w:start w:val="12"/>
      <w:numFmt w:val="decimal"/>
      <w:lvlText w:val="%1."/>
      <w:lvlJc w:val="left"/>
      <w:pPr>
        <w:tabs>
          <w:tab w:val="num" w:pos="360"/>
        </w:tabs>
        <w:ind w:left="360" w:hanging="360"/>
      </w:pPr>
      <w:rPr>
        <w:rFonts w:ascii="Times New Roman" w:hAnsi="Times New Roman" w:cs="Times New Roman" w:hint="default"/>
        <w:b/>
        <w:i w:val="0"/>
        <w:sz w:val="24"/>
      </w:rPr>
    </w:lvl>
    <w:lvl w:ilvl="1" w:tplc="042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2"/>
    <w:lvlOverride w:ilvl="0">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0F"/>
    <w:rsid w:val="004270F3"/>
    <w:rsid w:val="0047250F"/>
    <w:rsid w:val="0052491D"/>
    <w:rsid w:val="005D6D4B"/>
    <w:rsid w:val="00621936"/>
    <w:rsid w:val="00647885"/>
    <w:rsid w:val="006B6704"/>
    <w:rsid w:val="00C61548"/>
    <w:rsid w:val="00CF4452"/>
    <w:rsid w:val="00D114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link w:val="TekstChar"/>
    <w:qFormat/>
    <w:rsid w:val="005D6D4B"/>
    <w:pPr>
      <w:spacing w:after="240" w:line="230" w:lineRule="atLeast"/>
      <w:jc w:val="both"/>
    </w:pPr>
    <w:rPr>
      <w:rFonts w:ascii="Arial" w:eastAsia="MS Mincho" w:hAnsi="Arial" w:cs="Arial"/>
      <w:sz w:val="20"/>
      <w:szCs w:val="20"/>
      <w:lang w:eastAsia="ja-JP"/>
    </w:rPr>
  </w:style>
  <w:style w:type="character" w:customStyle="1" w:styleId="TekstChar">
    <w:name w:val="Tekst Char"/>
    <w:link w:val="Tekst"/>
    <w:rsid w:val="005D6D4B"/>
    <w:rPr>
      <w:rFonts w:ascii="Arial" w:eastAsia="MS Mincho" w:hAnsi="Arial" w:cs="Arial"/>
      <w:sz w:val="20"/>
      <w:szCs w:val="20"/>
      <w:lang w:eastAsia="ja-JP"/>
    </w:rPr>
  </w:style>
  <w:style w:type="paragraph" w:customStyle="1" w:styleId="Loendnumber">
    <w:name w:val="Loend number"/>
    <w:basedOn w:val="Normal"/>
    <w:qFormat/>
    <w:rsid w:val="005D6D4B"/>
    <w:pPr>
      <w:numPr>
        <w:numId w:val="2"/>
      </w:numPr>
      <w:tabs>
        <w:tab w:val="left" w:pos="357"/>
      </w:tabs>
      <w:spacing w:after="240" w:line="230" w:lineRule="atLeast"/>
      <w:ind w:left="357" w:hanging="357"/>
      <w:jc w:val="both"/>
    </w:pPr>
    <w:rPr>
      <w:rFonts w:ascii="Arial" w:eastAsia="MS Mincho" w:hAnsi="Arial" w:cs="Arial"/>
      <w:sz w:val="20"/>
      <w:szCs w:val="20"/>
      <w:lang w:eastAsia="ja-JP"/>
    </w:rPr>
  </w:style>
  <w:style w:type="paragraph" w:customStyle="1" w:styleId="Default">
    <w:name w:val="Default"/>
    <w:rsid w:val="006B670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48"/>
    <w:rPr>
      <w:rFonts w:ascii="Tahoma" w:hAnsi="Tahoma" w:cs="Tahoma"/>
      <w:sz w:val="16"/>
      <w:szCs w:val="16"/>
    </w:rPr>
  </w:style>
  <w:style w:type="paragraph" w:styleId="Header">
    <w:name w:val="header"/>
    <w:basedOn w:val="Normal"/>
    <w:link w:val="HeaderChar"/>
    <w:uiPriority w:val="99"/>
    <w:unhideWhenUsed/>
    <w:rsid w:val="00CF44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4452"/>
  </w:style>
  <w:style w:type="paragraph" w:styleId="Footer">
    <w:name w:val="footer"/>
    <w:basedOn w:val="Normal"/>
    <w:link w:val="FooterChar"/>
    <w:uiPriority w:val="99"/>
    <w:unhideWhenUsed/>
    <w:rsid w:val="00CF44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4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link w:val="TekstChar"/>
    <w:qFormat/>
    <w:rsid w:val="005D6D4B"/>
    <w:pPr>
      <w:spacing w:after="240" w:line="230" w:lineRule="atLeast"/>
      <w:jc w:val="both"/>
    </w:pPr>
    <w:rPr>
      <w:rFonts w:ascii="Arial" w:eastAsia="MS Mincho" w:hAnsi="Arial" w:cs="Arial"/>
      <w:sz w:val="20"/>
      <w:szCs w:val="20"/>
      <w:lang w:eastAsia="ja-JP"/>
    </w:rPr>
  </w:style>
  <w:style w:type="character" w:customStyle="1" w:styleId="TekstChar">
    <w:name w:val="Tekst Char"/>
    <w:link w:val="Tekst"/>
    <w:rsid w:val="005D6D4B"/>
    <w:rPr>
      <w:rFonts w:ascii="Arial" w:eastAsia="MS Mincho" w:hAnsi="Arial" w:cs="Arial"/>
      <w:sz w:val="20"/>
      <w:szCs w:val="20"/>
      <w:lang w:eastAsia="ja-JP"/>
    </w:rPr>
  </w:style>
  <w:style w:type="paragraph" w:customStyle="1" w:styleId="Loendnumber">
    <w:name w:val="Loend number"/>
    <w:basedOn w:val="Normal"/>
    <w:qFormat/>
    <w:rsid w:val="005D6D4B"/>
    <w:pPr>
      <w:numPr>
        <w:numId w:val="2"/>
      </w:numPr>
      <w:tabs>
        <w:tab w:val="left" w:pos="357"/>
      </w:tabs>
      <w:spacing w:after="240" w:line="230" w:lineRule="atLeast"/>
      <w:ind w:left="357" w:hanging="357"/>
      <w:jc w:val="both"/>
    </w:pPr>
    <w:rPr>
      <w:rFonts w:ascii="Arial" w:eastAsia="MS Mincho" w:hAnsi="Arial" w:cs="Arial"/>
      <w:sz w:val="20"/>
      <w:szCs w:val="20"/>
      <w:lang w:eastAsia="ja-JP"/>
    </w:rPr>
  </w:style>
  <w:style w:type="paragraph" w:customStyle="1" w:styleId="Default">
    <w:name w:val="Default"/>
    <w:rsid w:val="006B670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1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48"/>
    <w:rPr>
      <w:rFonts w:ascii="Tahoma" w:hAnsi="Tahoma" w:cs="Tahoma"/>
      <w:sz w:val="16"/>
      <w:szCs w:val="16"/>
    </w:rPr>
  </w:style>
  <w:style w:type="paragraph" w:styleId="Header">
    <w:name w:val="header"/>
    <w:basedOn w:val="Normal"/>
    <w:link w:val="HeaderChar"/>
    <w:uiPriority w:val="99"/>
    <w:unhideWhenUsed/>
    <w:rsid w:val="00CF44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4452"/>
  </w:style>
  <w:style w:type="paragraph" w:styleId="Footer">
    <w:name w:val="footer"/>
    <w:basedOn w:val="Normal"/>
    <w:link w:val="FooterChar"/>
    <w:uiPriority w:val="99"/>
    <w:unhideWhenUsed/>
    <w:rsid w:val="00CF44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1420</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7</cp:revision>
  <cp:lastPrinted>2014-10-08T14:20:00Z</cp:lastPrinted>
  <dcterms:created xsi:type="dcterms:W3CDTF">2014-10-05T18:27:00Z</dcterms:created>
  <dcterms:modified xsi:type="dcterms:W3CDTF">2014-10-08T14:36:00Z</dcterms:modified>
</cp:coreProperties>
</file>