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0F" w:rsidRPr="00470CCC" w:rsidRDefault="0047250F">
      <w:pPr>
        <w:rPr>
          <w:rFonts w:ascii="Times New Roman" w:hAnsi="Times New Roman" w:cs="Times New Roman"/>
          <w:b/>
          <w:sz w:val="24"/>
          <w:szCs w:val="24"/>
        </w:rPr>
      </w:pPr>
      <w:r w:rsidRPr="00470CCC">
        <w:rPr>
          <w:rFonts w:ascii="Times New Roman" w:hAnsi="Times New Roman" w:cs="Times New Roman"/>
          <w:b/>
          <w:sz w:val="24"/>
          <w:szCs w:val="24"/>
        </w:rPr>
        <w:t xml:space="preserve">Kinnisvara hindaja      </w:t>
      </w:r>
      <w:r w:rsidR="00470CCC" w:rsidRPr="00470CCC">
        <w:rPr>
          <w:rFonts w:ascii="Times New Roman" w:hAnsi="Times New Roman" w:cs="Times New Roman"/>
          <w:b/>
          <w:sz w:val="24"/>
          <w:szCs w:val="24"/>
        </w:rPr>
        <w:t>taastõendaja</w:t>
      </w:r>
      <w:r w:rsidRPr="00470CCC">
        <w:rPr>
          <w:rFonts w:ascii="Times New Roman" w:hAnsi="Times New Roman" w:cs="Times New Roman"/>
          <w:b/>
          <w:sz w:val="24"/>
          <w:szCs w:val="24"/>
        </w:rPr>
        <w:t xml:space="preserve">                                        KOOD……………………</w:t>
      </w:r>
      <w:r w:rsidR="00470CCC">
        <w:rPr>
          <w:rFonts w:ascii="Times New Roman" w:hAnsi="Times New Roman" w:cs="Times New Roman"/>
          <w:b/>
          <w:sz w:val="24"/>
          <w:szCs w:val="24"/>
        </w:rPr>
        <w:t xml:space="preserve"> </w:t>
      </w:r>
      <w:r w:rsidRPr="00470CCC">
        <w:rPr>
          <w:rFonts w:ascii="Times New Roman" w:hAnsi="Times New Roman" w:cs="Times New Roman"/>
          <w:b/>
          <w:sz w:val="24"/>
          <w:szCs w:val="24"/>
        </w:rPr>
        <w:t>Teoreetiline osa</w:t>
      </w:r>
    </w:p>
    <w:p w:rsidR="00470CCC" w:rsidRPr="00512183" w:rsidRDefault="00470CCC" w:rsidP="00470CCC">
      <w:pPr>
        <w:spacing w:after="0"/>
      </w:pPr>
      <w:r w:rsidRPr="002E22AC">
        <w:t xml:space="preserve">1. </w:t>
      </w:r>
      <w:r w:rsidRPr="00512183">
        <w:rPr>
          <w:rFonts w:ascii="Times New Roman" w:eastAsia="Arial Unicode MS" w:hAnsi="Times New Roman" w:cs="Times New Roman"/>
          <w:sz w:val="24"/>
          <w:szCs w:val="24"/>
        </w:rPr>
        <w:t>Mis on määratud krundi ehitusõigusega</w:t>
      </w:r>
      <w:r>
        <w:rPr>
          <w:rFonts w:ascii="Times New Roman" w:eastAsia="Arial Unicode MS" w:hAnsi="Times New Roman" w:cs="Times New Roman"/>
          <w:sz w:val="24"/>
          <w:szCs w:val="24"/>
        </w:rPr>
        <w:t>?</w:t>
      </w:r>
    </w:p>
    <w:p w:rsidR="007C5178" w:rsidRPr="006E4E6E" w:rsidRDefault="007C5178" w:rsidP="007C5178">
      <w:pPr>
        <w:shd w:val="clear" w:color="auto" w:fill="FFFFFF"/>
        <w:tabs>
          <w:tab w:val="num" w:pos="142"/>
        </w:tabs>
        <w:spacing w:after="0" w:line="240" w:lineRule="auto"/>
        <w:rPr>
          <w:rFonts w:ascii="Times New Roman" w:eastAsia="Arial Unicode MS" w:hAnsi="Times New Roman" w:cs="Times New Roman"/>
          <w:color w:val="000000"/>
          <w:sz w:val="24"/>
          <w:szCs w:val="24"/>
        </w:rPr>
      </w:pPr>
      <w:r w:rsidRPr="006E4E6E">
        <w:rPr>
          <w:rFonts w:ascii="Times New Roman" w:eastAsia="Arial Unicode MS" w:hAnsi="Times New Roman" w:cs="Times New Roman"/>
          <w:b/>
          <w:color w:val="000000"/>
          <w:sz w:val="24"/>
          <w:szCs w:val="24"/>
        </w:rPr>
        <w:t>Vastus:</w:t>
      </w:r>
      <w:r>
        <w:rPr>
          <w:rFonts w:ascii="Times New Roman" w:eastAsia="Arial Unicode MS" w:hAnsi="Times New Roman" w:cs="Times New Roman"/>
          <w:color w:val="000000"/>
          <w:sz w:val="24"/>
          <w:szCs w:val="24"/>
        </w:rPr>
        <w:t xml:space="preserve"> </w:t>
      </w:r>
      <w:r w:rsidRPr="00E16B6D">
        <w:rPr>
          <w:rFonts w:ascii="Times New Roman" w:eastAsia="Arial Unicode MS" w:hAnsi="Times New Roman" w:cs="Times New Roman"/>
          <w:color w:val="000000"/>
          <w:sz w:val="24"/>
          <w:szCs w:val="24"/>
        </w:rPr>
        <w:t>Krundi ehitusõigusega on määratletud:</w:t>
      </w:r>
      <w:r w:rsidRPr="00E16B6D">
        <w:rPr>
          <w:rFonts w:ascii="Times New Roman" w:eastAsia="Arial Unicode MS" w:hAnsi="Times New Roman" w:cs="Times New Roman"/>
          <w:color w:val="000000"/>
          <w:sz w:val="24"/>
          <w:szCs w:val="24"/>
        </w:rPr>
        <w:br/>
        <w:t> 1)</w:t>
      </w:r>
      <w:r w:rsidRPr="006E4E6E">
        <w:rPr>
          <w:rFonts w:ascii="Times New Roman" w:eastAsia="Arial Unicode MS" w:hAnsi="Times New Roman" w:cs="Times New Roman"/>
          <w:color w:val="000000"/>
          <w:sz w:val="24"/>
          <w:szCs w:val="24"/>
        </w:rPr>
        <w:t xml:space="preserve"> </w:t>
      </w:r>
      <w:r w:rsidRPr="00E16B6D">
        <w:rPr>
          <w:rFonts w:ascii="Times New Roman" w:eastAsia="Arial Unicode MS" w:hAnsi="Times New Roman" w:cs="Times New Roman"/>
          <w:color w:val="000000"/>
          <w:sz w:val="24"/>
          <w:szCs w:val="24"/>
        </w:rPr>
        <w:t>krundi kasutamise sihtotstarve või sihtotstarbed;</w:t>
      </w:r>
      <w:r w:rsidRPr="00E16B6D">
        <w:rPr>
          <w:rFonts w:ascii="Times New Roman" w:eastAsia="Arial Unicode MS" w:hAnsi="Times New Roman" w:cs="Times New Roman"/>
          <w:color w:val="000000"/>
          <w:sz w:val="24"/>
          <w:szCs w:val="24"/>
        </w:rPr>
        <w:br/>
      </w:r>
      <w:bookmarkStart w:id="0" w:name="para9lg4p2"/>
      <w:r w:rsidRPr="00E16B6D">
        <w:rPr>
          <w:rFonts w:ascii="Times New Roman" w:eastAsia="Arial Unicode MS" w:hAnsi="Times New Roman" w:cs="Times New Roman"/>
          <w:color w:val="000000"/>
          <w:sz w:val="24"/>
          <w:szCs w:val="24"/>
        </w:rPr>
        <w:t> </w:t>
      </w:r>
      <w:bookmarkEnd w:id="0"/>
      <w:r w:rsidRPr="00E16B6D">
        <w:rPr>
          <w:rFonts w:ascii="Times New Roman" w:eastAsia="Arial Unicode MS" w:hAnsi="Times New Roman" w:cs="Times New Roman"/>
          <w:color w:val="000000"/>
          <w:sz w:val="24"/>
          <w:szCs w:val="24"/>
        </w:rPr>
        <w:t>2)</w:t>
      </w:r>
      <w:r w:rsidRPr="006E4E6E">
        <w:rPr>
          <w:rFonts w:ascii="Times New Roman" w:eastAsia="Arial Unicode MS" w:hAnsi="Times New Roman" w:cs="Times New Roman"/>
          <w:color w:val="000000"/>
          <w:sz w:val="24"/>
          <w:szCs w:val="24"/>
        </w:rPr>
        <w:t xml:space="preserve"> </w:t>
      </w:r>
      <w:r w:rsidRPr="00E16B6D">
        <w:rPr>
          <w:rFonts w:ascii="Times New Roman" w:eastAsia="Arial Unicode MS" w:hAnsi="Times New Roman" w:cs="Times New Roman"/>
          <w:color w:val="000000"/>
          <w:sz w:val="24"/>
          <w:szCs w:val="24"/>
        </w:rPr>
        <w:t>hoonete suurim lubatud arv või hoonete puudumine krundil;</w:t>
      </w:r>
      <w:r w:rsidRPr="00E16B6D">
        <w:rPr>
          <w:rFonts w:ascii="Times New Roman" w:eastAsia="Arial Unicode MS" w:hAnsi="Times New Roman" w:cs="Times New Roman"/>
          <w:color w:val="000000"/>
          <w:sz w:val="24"/>
          <w:szCs w:val="24"/>
        </w:rPr>
        <w:br/>
      </w:r>
      <w:bookmarkStart w:id="1" w:name="para9lg4p3"/>
      <w:r w:rsidRPr="00E16B6D">
        <w:rPr>
          <w:rFonts w:ascii="Times New Roman" w:eastAsia="Arial Unicode MS" w:hAnsi="Times New Roman" w:cs="Times New Roman"/>
          <w:color w:val="000000"/>
          <w:sz w:val="24"/>
          <w:szCs w:val="24"/>
        </w:rPr>
        <w:t> </w:t>
      </w:r>
      <w:bookmarkEnd w:id="1"/>
      <w:r w:rsidRPr="00E16B6D">
        <w:rPr>
          <w:rFonts w:ascii="Times New Roman" w:eastAsia="Arial Unicode MS" w:hAnsi="Times New Roman" w:cs="Times New Roman"/>
          <w:color w:val="000000"/>
          <w:sz w:val="24"/>
          <w:szCs w:val="24"/>
        </w:rPr>
        <w:t>3)</w:t>
      </w:r>
      <w:r w:rsidRPr="006E4E6E">
        <w:rPr>
          <w:rFonts w:ascii="Times New Roman" w:eastAsia="Arial Unicode MS" w:hAnsi="Times New Roman" w:cs="Times New Roman"/>
          <w:color w:val="000000"/>
          <w:sz w:val="24"/>
          <w:szCs w:val="24"/>
        </w:rPr>
        <w:t xml:space="preserve"> </w:t>
      </w:r>
      <w:r w:rsidRPr="00E16B6D">
        <w:rPr>
          <w:rFonts w:ascii="Times New Roman" w:eastAsia="Arial Unicode MS" w:hAnsi="Times New Roman" w:cs="Times New Roman"/>
          <w:color w:val="000000"/>
          <w:sz w:val="24"/>
          <w:szCs w:val="24"/>
        </w:rPr>
        <w:t>hoonete suurim lubatud ehitusalune pindala;</w:t>
      </w:r>
      <w:r w:rsidRPr="00E16B6D">
        <w:rPr>
          <w:rFonts w:ascii="Times New Roman" w:eastAsia="Arial Unicode MS" w:hAnsi="Times New Roman" w:cs="Times New Roman"/>
          <w:color w:val="000000"/>
          <w:sz w:val="24"/>
          <w:szCs w:val="24"/>
        </w:rPr>
        <w:br/>
      </w:r>
      <w:bookmarkStart w:id="2" w:name="para9lg4p4"/>
      <w:r w:rsidRPr="00E16B6D">
        <w:rPr>
          <w:rFonts w:ascii="Times New Roman" w:eastAsia="Arial Unicode MS" w:hAnsi="Times New Roman" w:cs="Times New Roman"/>
          <w:color w:val="000000"/>
          <w:sz w:val="24"/>
          <w:szCs w:val="24"/>
        </w:rPr>
        <w:t> </w:t>
      </w:r>
      <w:bookmarkEnd w:id="2"/>
      <w:r w:rsidRPr="00E16B6D">
        <w:rPr>
          <w:rFonts w:ascii="Times New Roman" w:eastAsia="Arial Unicode MS" w:hAnsi="Times New Roman" w:cs="Times New Roman"/>
          <w:color w:val="000000"/>
          <w:sz w:val="24"/>
          <w:szCs w:val="24"/>
        </w:rPr>
        <w:t>4)</w:t>
      </w:r>
      <w:r w:rsidRPr="006E4E6E">
        <w:rPr>
          <w:rFonts w:ascii="Times New Roman" w:eastAsia="Arial Unicode MS" w:hAnsi="Times New Roman" w:cs="Times New Roman"/>
          <w:color w:val="000000"/>
          <w:sz w:val="24"/>
          <w:szCs w:val="24"/>
        </w:rPr>
        <w:t xml:space="preserve"> </w:t>
      </w:r>
      <w:r w:rsidRPr="00E16B6D">
        <w:rPr>
          <w:rFonts w:ascii="Times New Roman" w:eastAsia="Arial Unicode MS" w:hAnsi="Times New Roman" w:cs="Times New Roman"/>
          <w:color w:val="000000"/>
          <w:sz w:val="24"/>
          <w:szCs w:val="24"/>
        </w:rPr>
        <w:t>hoonete suurim lubatud kõrgus.</w:t>
      </w:r>
    </w:p>
    <w:p w:rsidR="00470CCC" w:rsidRPr="002E22AC" w:rsidRDefault="00470CCC" w:rsidP="00470CCC">
      <w:pPr>
        <w:shd w:val="clear" w:color="auto" w:fill="FFFFFF"/>
        <w:tabs>
          <w:tab w:val="num" w:pos="0"/>
        </w:tabs>
        <w:spacing w:after="0" w:line="240" w:lineRule="auto"/>
        <w:rPr>
          <w:rFonts w:ascii="Times New Roman" w:eastAsia="Arial Unicode MS" w:hAnsi="Times New Roman" w:cs="Times New Roman"/>
          <w:color w:val="000000"/>
          <w:sz w:val="24"/>
          <w:szCs w:val="24"/>
        </w:rPr>
      </w:pPr>
    </w:p>
    <w:p w:rsidR="00470CCC" w:rsidRPr="00512183" w:rsidRDefault="00470CCC" w:rsidP="00470C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512183">
        <w:rPr>
          <w:rFonts w:ascii="Times New Roman" w:hAnsi="Times New Roman" w:cs="Times New Roman"/>
          <w:sz w:val="24"/>
          <w:szCs w:val="24"/>
        </w:rPr>
        <w:t>Missuguseid tehinguid ei kasutata tavaliselt võrdlustehingutena?</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b/>
          <w:sz w:val="24"/>
          <w:szCs w:val="24"/>
        </w:rPr>
        <w:t>Vastus:</w:t>
      </w:r>
      <w:r w:rsidRPr="007C5178">
        <w:rPr>
          <w:rFonts w:ascii="Times New Roman" w:hAnsi="Times New Roman" w:cs="Times New Roman"/>
          <w:sz w:val="24"/>
          <w:szCs w:val="24"/>
        </w:rPr>
        <w:t xml:space="preserve"> Võrdlustehingutena ei kasutata tavaliselt järgmisi tehinguid:</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tehingu osapooled on omavahel seotud sugulus-, äri- jms sidemete kaudu,</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tehingu üheks osapooleks on riik, omavalitsus või nendega tihedalt seotud juriidiline isik,</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tehing on toimunud sundolukorras,</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tasumisel on kasutatud muid maksevahendeid peale raha,</w:t>
      </w:r>
    </w:p>
    <w:p w:rsidR="007C5178" w:rsidRPr="007C5178"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tehing on teostatud enampakkumise tingimustes,</w:t>
      </w:r>
    </w:p>
    <w:p w:rsidR="00470CCC" w:rsidRDefault="007C5178" w:rsidP="007C5178">
      <w:pPr>
        <w:spacing w:after="0" w:line="240" w:lineRule="auto"/>
        <w:rPr>
          <w:rFonts w:ascii="Times New Roman" w:hAnsi="Times New Roman" w:cs="Times New Roman"/>
          <w:sz w:val="24"/>
          <w:szCs w:val="24"/>
        </w:rPr>
      </w:pPr>
      <w:r w:rsidRPr="007C5178">
        <w:rPr>
          <w:rFonts w:ascii="Times New Roman" w:hAnsi="Times New Roman" w:cs="Times New Roman"/>
          <w:sz w:val="24"/>
          <w:szCs w:val="24"/>
        </w:rPr>
        <w:t>esineb muid asjaolusid, mis viitavad sellele, et tehing ei ole toimunud vaba turu tingimustes.</w:t>
      </w:r>
    </w:p>
    <w:p w:rsidR="007C5178" w:rsidRPr="00512183" w:rsidRDefault="007C5178" w:rsidP="007C5178">
      <w:pPr>
        <w:spacing w:after="0" w:line="240" w:lineRule="auto"/>
        <w:rPr>
          <w:rFonts w:ascii="Times New Roman" w:hAnsi="Times New Roman" w:cs="Times New Roman"/>
          <w:sz w:val="24"/>
          <w:szCs w:val="24"/>
        </w:rPr>
      </w:pPr>
    </w:p>
    <w:p w:rsidR="00470CCC" w:rsidRDefault="00470CCC" w:rsidP="00470CC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E22AC">
        <w:rPr>
          <w:rFonts w:ascii="Times New Roman" w:hAnsi="Times New Roman" w:cs="Times New Roman"/>
          <w:sz w:val="24"/>
          <w:szCs w:val="24"/>
        </w:rPr>
        <w:t>. Mis on turusegment vastavalt standardile EVS875-10? Tooge kaks näidet.</w:t>
      </w:r>
    </w:p>
    <w:p w:rsidR="007C5178" w:rsidRPr="00AC4C17" w:rsidRDefault="007C5178" w:rsidP="007C5178">
      <w:pPr>
        <w:tabs>
          <w:tab w:val="left" w:pos="658"/>
        </w:tabs>
        <w:spacing w:after="0" w:line="230" w:lineRule="atLeast"/>
        <w:jc w:val="both"/>
        <w:rPr>
          <w:rFonts w:ascii="Times New Roman" w:eastAsia="MS Mincho" w:hAnsi="Times New Roman" w:cs="Times New Roman"/>
          <w:sz w:val="24"/>
          <w:szCs w:val="24"/>
          <w:lang w:eastAsia="ja-JP"/>
        </w:rPr>
      </w:pPr>
      <w:r w:rsidRPr="00AC4C17">
        <w:rPr>
          <w:rFonts w:ascii="Times New Roman" w:eastAsia="MS Mincho" w:hAnsi="Times New Roman" w:cs="Times New Roman"/>
          <w:b/>
          <w:sz w:val="24"/>
          <w:szCs w:val="24"/>
          <w:lang w:eastAsia="ja-JP"/>
        </w:rPr>
        <w:t>Vastus:</w:t>
      </w:r>
      <w:r>
        <w:rPr>
          <w:rFonts w:ascii="Times New Roman" w:eastAsia="MS Mincho" w:hAnsi="Times New Roman" w:cs="Times New Roman"/>
          <w:sz w:val="24"/>
          <w:szCs w:val="24"/>
          <w:lang w:eastAsia="ja-JP"/>
        </w:rPr>
        <w:t xml:space="preserve"> </w:t>
      </w:r>
      <w:r w:rsidRPr="00AC4C17">
        <w:rPr>
          <w:rFonts w:ascii="Times New Roman" w:eastAsia="MS Mincho" w:hAnsi="Times New Roman" w:cs="Times New Roman"/>
          <w:sz w:val="24"/>
          <w:szCs w:val="24"/>
          <w:lang w:eastAsia="ja-JP"/>
        </w:rPr>
        <w:t xml:space="preserve">Kinnisvara turusegment on turusektori alaliik, mida saab kirjeldada turuosalejate kaudu, kes on huvitatud teatud liiki kinnisvarast ja teenustest, mida taoline kinnisvara pakub. Turusegment on turusektori osa, mis peegeldab teatud grupi ostjate ja rentnike ning müüjate ja rendileandjate eelistusi määratletud turupiirkonnas. </w:t>
      </w:r>
    </w:p>
    <w:p w:rsidR="007C5178" w:rsidRPr="00AC4C17" w:rsidRDefault="007C5178" w:rsidP="007C5178">
      <w:pPr>
        <w:tabs>
          <w:tab w:val="left" w:pos="1134"/>
        </w:tabs>
        <w:spacing w:after="0" w:line="230" w:lineRule="atLeast"/>
        <w:jc w:val="both"/>
        <w:rPr>
          <w:rFonts w:ascii="Times New Roman" w:eastAsia="Times New Roman" w:hAnsi="Times New Roman" w:cs="Times New Roman"/>
          <w:sz w:val="24"/>
          <w:szCs w:val="24"/>
        </w:rPr>
      </w:pPr>
      <w:r w:rsidRPr="00AC4C17">
        <w:rPr>
          <w:rFonts w:ascii="Times New Roman" w:eastAsia="Times New Roman" w:hAnsi="Times New Roman" w:cs="Times New Roman"/>
          <w:sz w:val="24"/>
          <w:szCs w:val="24"/>
        </w:rPr>
        <w:t>NÄIDE 1</w:t>
      </w:r>
      <w:r w:rsidRPr="00AC4C17">
        <w:rPr>
          <w:rFonts w:ascii="Times New Roman" w:eastAsia="Times New Roman" w:hAnsi="Times New Roman" w:cs="Times New Roman"/>
          <w:sz w:val="24"/>
          <w:szCs w:val="24"/>
        </w:rPr>
        <w:tab/>
        <w:t xml:space="preserve"> Eluotstarbelise kinnisvara turusektori segmentideks on elamuturg, korteriturg, suvilaturg jne. Neid võib omakorda segmenteerida esmaseks või teiseseks turuks või mõne muu tunnuse alusel.</w:t>
      </w:r>
    </w:p>
    <w:p w:rsidR="00470CCC" w:rsidRPr="007C5178" w:rsidRDefault="007C5178" w:rsidP="007C5178">
      <w:pPr>
        <w:tabs>
          <w:tab w:val="left" w:pos="1134"/>
        </w:tabs>
        <w:spacing w:after="240" w:line="230" w:lineRule="atLeast"/>
        <w:jc w:val="both"/>
        <w:rPr>
          <w:rFonts w:ascii="Times New Roman" w:eastAsia="Times New Roman" w:hAnsi="Times New Roman" w:cs="Times New Roman"/>
          <w:sz w:val="24"/>
          <w:szCs w:val="24"/>
        </w:rPr>
      </w:pPr>
      <w:r w:rsidRPr="00AC4C17">
        <w:rPr>
          <w:rFonts w:ascii="Times New Roman" w:eastAsia="Times New Roman" w:hAnsi="Times New Roman" w:cs="Times New Roman"/>
          <w:sz w:val="24"/>
          <w:szCs w:val="24"/>
        </w:rPr>
        <w:t>NÄIDE 2</w:t>
      </w:r>
      <w:r w:rsidRPr="00AC4C17">
        <w:rPr>
          <w:rFonts w:ascii="Times New Roman" w:eastAsia="Times New Roman" w:hAnsi="Times New Roman" w:cs="Times New Roman"/>
          <w:sz w:val="24"/>
          <w:szCs w:val="24"/>
        </w:rPr>
        <w:tab/>
        <w:t xml:space="preserve">Tootmisotstarbelise kinnisvaraturu segmendid on tootmispindade turg, laopindade turg jne, mida võib segmenteerida suuruse või kvaliteedi alusel. </w:t>
      </w:r>
    </w:p>
    <w:p w:rsidR="00470CCC" w:rsidRDefault="00470CCC" w:rsidP="00470CCC">
      <w:pPr>
        <w:tabs>
          <w:tab w:val="left" w:pos="1134"/>
        </w:tabs>
        <w:spacing w:after="0" w:line="23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22AC">
        <w:rPr>
          <w:rFonts w:ascii="Times New Roman" w:eastAsia="Times New Roman" w:hAnsi="Times New Roman" w:cs="Times New Roman"/>
          <w:sz w:val="24"/>
          <w:szCs w:val="24"/>
        </w:rPr>
        <w:t>. Kuidas leiate ja tähistate vara kui terviku kvaliteediklassi kui krundil on rohkem hooneid kui üks vastavalt EVS875-10?</w:t>
      </w:r>
    </w:p>
    <w:p w:rsidR="007C5178" w:rsidRPr="007C5178" w:rsidRDefault="007C5178" w:rsidP="007C5178">
      <w:pPr>
        <w:tabs>
          <w:tab w:val="left" w:pos="941"/>
        </w:tabs>
        <w:spacing w:after="0" w:line="230" w:lineRule="atLeast"/>
        <w:jc w:val="both"/>
        <w:rPr>
          <w:rFonts w:ascii="Times New Roman" w:eastAsia="MS Mincho" w:hAnsi="Times New Roman" w:cs="Times New Roman"/>
          <w:sz w:val="24"/>
          <w:szCs w:val="24"/>
          <w:lang w:eastAsia="ja-JP"/>
        </w:rPr>
      </w:pPr>
      <w:r w:rsidRPr="00FF0836">
        <w:rPr>
          <w:rFonts w:ascii="Times New Roman" w:eastAsia="MS Mincho" w:hAnsi="Times New Roman" w:cs="Times New Roman"/>
          <w:b/>
          <w:sz w:val="24"/>
          <w:szCs w:val="24"/>
          <w:lang w:eastAsia="ja-JP"/>
        </w:rPr>
        <w:t>Vastus:</w:t>
      </w:r>
      <w:r w:rsidRPr="00FF0836">
        <w:rPr>
          <w:rFonts w:ascii="Times New Roman" w:eastAsia="MS Mincho" w:hAnsi="Times New Roman" w:cs="Times New Roman"/>
          <w:sz w:val="24"/>
          <w:szCs w:val="24"/>
          <w:lang w:eastAsia="ja-JP"/>
        </w:rPr>
        <w:t xml:space="preserve"> Kui krundil on hooneid rohkem kui üks, siis antakse igale olulisele hoonele eraldi hinnang hoone kvaliteediklassi kohta ja ühine kaalutletud koondhinnang vara kui terviku kohta, arvestades üksikute hoonete panust vara väärtusele. </w:t>
      </w:r>
    </w:p>
    <w:p w:rsidR="00470CCC" w:rsidRDefault="00470CCC" w:rsidP="00470CCC">
      <w:pPr>
        <w:spacing w:after="0" w:line="240" w:lineRule="auto"/>
        <w:rPr>
          <w:rFonts w:ascii="Times New Roman" w:hAnsi="Times New Roman" w:cs="Times New Roman"/>
          <w:sz w:val="24"/>
          <w:szCs w:val="24"/>
        </w:rPr>
      </w:pPr>
    </w:p>
    <w:p w:rsidR="00470CCC" w:rsidRDefault="00470CCC" w:rsidP="00470CCC">
      <w:pPr>
        <w:spacing w:after="0"/>
        <w:jc w:val="both"/>
        <w:rPr>
          <w:rFonts w:ascii="Times New Roman" w:hAnsi="Times New Roman" w:cs="Times New Roman"/>
          <w:sz w:val="24"/>
          <w:szCs w:val="24"/>
        </w:rPr>
      </w:pPr>
      <w:r w:rsidRPr="00197330">
        <w:rPr>
          <w:rFonts w:ascii="Times New Roman" w:hAnsi="Times New Roman" w:cs="Times New Roman"/>
          <w:sz w:val="24"/>
          <w:szCs w:val="24"/>
        </w:rPr>
        <w:t>5</w:t>
      </w:r>
      <w:r w:rsidRPr="002E22AC">
        <w:rPr>
          <w:rFonts w:ascii="Times New Roman" w:hAnsi="Times New Roman" w:cs="Times New Roman"/>
          <w:sz w:val="24"/>
          <w:szCs w:val="24"/>
        </w:rPr>
        <w:t>. Milles seisneb erinevus diskontomäära ja kapitalisatsioonimäära vahel?</w:t>
      </w:r>
    </w:p>
    <w:p w:rsidR="007C5178" w:rsidRPr="00FE0DAF" w:rsidRDefault="007C5178" w:rsidP="007C5178">
      <w:pPr>
        <w:spacing w:after="120" w:line="240" w:lineRule="auto"/>
        <w:jc w:val="both"/>
        <w:rPr>
          <w:rFonts w:ascii="Times New Roman" w:hAnsi="Times New Roman" w:cs="Times New Roman"/>
          <w:sz w:val="24"/>
          <w:szCs w:val="24"/>
        </w:rPr>
      </w:pPr>
      <w:r w:rsidRPr="00FE0DAF">
        <w:rPr>
          <w:rFonts w:ascii="Times New Roman" w:hAnsi="Times New Roman" w:cs="Times New Roman"/>
          <w:b/>
          <w:sz w:val="24"/>
          <w:szCs w:val="24"/>
        </w:rPr>
        <w:t xml:space="preserve">Vastus: </w:t>
      </w:r>
      <w:r w:rsidRPr="00FE0DAF">
        <w:rPr>
          <w:rFonts w:ascii="Times New Roman" w:hAnsi="Times New Roman" w:cs="Times New Roman"/>
          <w:sz w:val="24"/>
          <w:szCs w:val="24"/>
        </w:rPr>
        <w:t>Diskontomäära ja kapitalisatsioonimäära vaheliseks funktsionaalseks seoseks on kasvumäär. Juhul, kui investori hinnangul in</w:t>
      </w:r>
      <w:r w:rsidRPr="00FE0DAF">
        <w:rPr>
          <w:rFonts w:ascii="Times New Roman" w:hAnsi="Times New Roman" w:cs="Times New Roman"/>
          <w:sz w:val="24"/>
          <w:szCs w:val="24"/>
        </w:rPr>
        <w:softHyphen/>
        <w:t>ves</w:t>
      </w:r>
      <w:r w:rsidRPr="00FE0DAF">
        <w:rPr>
          <w:rFonts w:ascii="Times New Roman" w:hAnsi="Times New Roman" w:cs="Times New Roman"/>
          <w:sz w:val="24"/>
          <w:szCs w:val="24"/>
        </w:rPr>
        <w:softHyphen/>
        <w:t>teeringust tulenevad rahavood tulevikus ei kas</w:t>
      </w:r>
      <w:r w:rsidRPr="00FE0DAF">
        <w:rPr>
          <w:rFonts w:ascii="Times New Roman" w:hAnsi="Times New Roman" w:cs="Times New Roman"/>
          <w:sz w:val="24"/>
          <w:szCs w:val="24"/>
        </w:rPr>
        <w:softHyphen/>
        <w:t>va, vaid jäävad iga</w:t>
      </w:r>
      <w:r w:rsidRPr="00FE0DAF">
        <w:rPr>
          <w:rFonts w:ascii="Times New Roman" w:hAnsi="Times New Roman" w:cs="Times New Roman"/>
          <w:sz w:val="24"/>
          <w:szCs w:val="24"/>
        </w:rPr>
        <w:softHyphen/>
        <w:t>vesti samale ta</w:t>
      </w:r>
      <w:r w:rsidRPr="00FE0DAF">
        <w:rPr>
          <w:rFonts w:ascii="Times New Roman" w:hAnsi="Times New Roman" w:cs="Times New Roman"/>
          <w:sz w:val="24"/>
          <w:szCs w:val="24"/>
        </w:rPr>
        <w:softHyphen/>
        <w:t>se</w:t>
      </w:r>
      <w:r w:rsidRPr="00FE0DAF">
        <w:rPr>
          <w:rFonts w:ascii="Times New Roman" w:hAnsi="Times New Roman" w:cs="Times New Roman"/>
          <w:sz w:val="24"/>
          <w:szCs w:val="24"/>
        </w:rPr>
        <w:softHyphen/>
        <w:t>me</w:t>
      </w:r>
      <w:r w:rsidRPr="00FE0DAF">
        <w:rPr>
          <w:rFonts w:ascii="Times New Roman" w:hAnsi="Times New Roman" w:cs="Times New Roman"/>
          <w:sz w:val="24"/>
          <w:szCs w:val="24"/>
        </w:rPr>
        <w:softHyphen/>
        <w:t>le, on diskontomäär võrdne ka</w:t>
      </w:r>
      <w:r w:rsidRPr="00FE0DAF">
        <w:rPr>
          <w:rFonts w:ascii="Times New Roman" w:hAnsi="Times New Roman" w:cs="Times New Roman"/>
          <w:sz w:val="24"/>
          <w:szCs w:val="24"/>
        </w:rPr>
        <w:softHyphen/>
        <w:t>pi</w:t>
      </w:r>
      <w:r w:rsidRPr="00FE0DAF">
        <w:rPr>
          <w:rFonts w:ascii="Times New Roman" w:hAnsi="Times New Roman" w:cs="Times New Roman"/>
          <w:sz w:val="24"/>
          <w:szCs w:val="24"/>
        </w:rPr>
        <w:softHyphen/>
        <w:t>talisatsioonimääraga (</w:t>
      </w:r>
      <w:proofErr w:type="spellStart"/>
      <w:r w:rsidRPr="00FE0DAF">
        <w:rPr>
          <w:rFonts w:ascii="Times New Roman" w:hAnsi="Times New Roman" w:cs="Times New Roman"/>
          <w:i/>
          <w:sz w:val="24"/>
          <w:szCs w:val="24"/>
        </w:rPr>
        <w:t>Y</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rPr>
        <w:t xml:space="preserve"> = </w:t>
      </w:r>
      <w:proofErr w:type="spellStart"/>
      <w:r w:rsidRPr="00FE0DAF">
        <w:rPr>
          <w:rFonts w:ascii="Times New Roman" w:hAnsi="Times New Roman" w:cs="Times New Roman"/>
          <w:i/>
          <w:sz w:val="24"/>
          <w:szCs w:val="24"/>
        </w:rPr>
        <w:t>R</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sz w:val="24"/>
          <w:szCs w:val="24"/>
        </w:rPr>
        <w:t>). Juhul, kui ooda</w:t>
      </w:r>
      <w:r w:rsidRPr="00FE0DAF">
        <w:rPr>
          <w:rFonts w:ascii="Times New Roman" w:hAnsi="Times New Roman" w:cs="Times New Roman"/>
          <w:sz w:val="24"/>
          <w:szCs w:val="24"/>
        </w:rPr>
        <w:softHyphen/>
        <w:t>tav aas</w:t>
      </w:r>
      <w:r w:rsidRPr="00FE0DAF">
        <w:rPr>
          <w:rFonts w:ascii="Times New Roman" w:hAnsi="Times New Roman" w:cs="Times New Roman"/>
          <w:sz w:val="24"/>
          <w:szCs w:val="24"/>
        </w:rPr>
        <w:softHyphen/>
        <w:t>tane sise</w:t>
      </w:r>
      <w:r w:rsidRPr="00FE0DAF">
        <w:rPr>
          <w:rFonts w:ascii="Times New Roman" w:hAnsi="Times New Roman" w:cs="Times New Roman"/>
          <w:sz w:val="24"/>
          <w:szCs w:val="24"/>
        </w:rPr>
        <w:softHyphen/>
        <w:t>mi</w:t>
      </w:r>
      <w:r w:rsidRPr="00FE0DAF">
        <w:rPr>
          <w:rFonts w:ascii="Times New Roman" w:hAnsi="Times New Roman" w:cs="Times New Roman"/>
          <w:sz w:val="24"/>
          <w:szCs w:val="24"/>
        </w:rPr>
        <w:softHyphen/>
        <w:t>ne liit</w:t>
      </w:r>
      <w:r w:rsidRPr="00FE0DAF">
        <w:rPr>
          <w:rFonts w:ascii="Times New Roman" w:hAnsi="Times New Roman" w:cs="Times New Roman"/>
          <w:sz w:val="24"/>
          <w:szCs w:val="24"/>
        </w:rPr>
        <w:softHyphen/>
        <w:t>kas</w:t>
      </w:r>
      <w:r w:rsidRPr="00FE0DAF">
        <w:rPr>
          <w:rFonts w:ascii="Times New Roman" w:hAnsi="Times New Roman" w:cs="Times New Roman"/>
          <w:sz w:val="24"/>
          <w:szCs w:val="24"/>
        </w:rPr>
        <w:softHyphen/>
        <w:t>vumäär on stabiil</w:t>
      </w:r>
      <w:r w:rsidRPr="00FE0DAF">
        <w:rPr>
          <w:rFonts w:ascii="Times New Roman" w:hAnsi="Times New Roman" w:cs="Times New Roman"/>
          <w:sz w:val="24"/>
          <w:szCs w:val="24"/>
        </w:rPr>
        <w:softHyphen/>
        <w:t>ne ja ühtlane pika aja</w:t>
      </w:r>
      <w:r w:rsidRPr="00FE0DAF">
        <w:rPr>
          <w:rFonts w:ascii="Times New Roman" w:hAnsi="Times New Roman" w:cs="Times New Roman"/>
          <w:sz w:val="24"/>
          <w:szCs w:val="24"/>
        </w:rPr>
        <w:softHyphen/>
        <w:t>perioo</w:t>
      </w:r>
      <w:r w:rsidRPr="00FE0DAF">
        <w:rPr>
          <w:rFonts w:ascii="Times New Roman" w:hAnsi="Times New Roman" w:cs="Times New Roman"/>
          <w:sz w:val="24"/>
          <w:szCs w:val="24"/>
        </w:rPr>
        <w:softHyphen/>
        <w:t>di jooksul (</w:t>
      </w:r>
      <w:r w:rsidRPr="00FE0DAF">
        <w:rPr>
          <w:rFonts w:ascii="Times New Roman" w:hAnsi="Times New Roman" w:cs="Times New Roman"/>
          <w:i/>
          <w:sz w:val="24"/>
          <w:szCs w:val="24"/>
        </w:rPr>
        <w:t>g</w:t>
      </w:r>
      <w:r w:rsidRPr="00FE0DAF">
        <w:rPr>
          <w:rFonts w:ascii="Times New Roman" w:hAnsi="Times New Roman" w:cs="Times New Roman"/>
          <w:sz w:val="24"/>
          <w:szCs w:val="24"/>
        </w:rPr>
        <w:t xml:space="preserve"> on pika</w:t>
      </w:r>
      <w:r w:rsidRPr="00FE0DAF">
        <w:rPr>
          <w:rFonts w:ascii="Times New Roman" w:hAnsi="Times New Roman" w:cs="Times New Roman"/>
          <w:sz w:val="24"/>
          <w:szCs w:val="24"/>
        </w:rPr>
        <w:softHyphen/>
        <w:t>aja</w:t>
      </w:r>
      <w:r w:rsidRPr="00FE0DAF">
        <w:rPr>
          <w:rFonts w:ascii="Times New Roman" w:hAnsi="Times New Roman" w:cs="Times New Roman"/>
          <w:sz w:val="24"/>
          <w:szCs w:val="24"/>
        </w:rPr>
        <w:softHyphen/>
        <w:t>line, tehni</w:t>
      </w:r>
      <w:r w:rsidRPr="00FE0DAF">
        <w:rPr>
          <w:rFonts w:ascii="Times New Roman" w:hAnsi="Times New Roman" w:cs="Times New Roman"/>
          <w:sz w:val="24"/>
          <w:szCs w:val="24"/>
        </w:rPr>
        <w:softHyphen/>
        <w:t>li</w:t>
      </w:r>
      <w:r w:rsidRPr="00FE0DAF">
        <w:rPr>
          <w:rFonts w:ascii="Times New Roman" w:hAnsi="Times New Roman" w:cs="Times New Roman"/>
          <w:sz w:val="24"/>
          <w:szCs w:val="24"/>
        </w:rPr>
        <w:softHyphen/>
        <w:t xml:space="preserve">selt </w:t>
      </w:r>
      <w:proofErr w:type="spellStart"/>
      <w:r w:rsidRPr="00FE0DAF">
        <w:rPr>
          <w:rFonts w:ascii="Times New Roman" w:hAnsi="Times New Roman" w:cs="Times New Roman"/>
          <w:sz w:val="24"/>
          <w:szCs w:val="24"/>
        </w:rPr>
        <w:t>perpetuiteetne</w:t>
      </w:r>
      <w:proofErr w:type="spellEnd"/>
      <w:r w:rsidRPr="00FE0DAF">
        <w:rPr>
          <w:rFonts w:ascii="Times New Roman" w:hAnsi="Times New Roman" w:cs="Times New Roman"/>
          <w:sz w:val="24"/>
          <w:szCs w:val="24"/>
        </w:rPr>
        <w:t xml:space="preserve"> kasvu</w:t>
      </w:r>
      <w:r w:rsidRPr="00FE0DAF">
        <w:rPr>
          <w:rFonts w:ascii="Times New Roman" w:hAnsi="Times New Roman" w:cs="Times New Roman"/>
          <w:sz w:val="24"/>
          <w:szCs w:val="24"/>
        </w:rPr>
        <w:softHyphen/>
        <w:t>määr), siis on diskon</w:t>
      </w:r>
      <w:r w:rsidRPr="00FE0DAF">
        <w:rPr>
          <w:rFonts w:ascii="Times New Roman" w:hAnsi="Times New Roman" w:cs="Times New Roman"/>
          <w:sz w:val="24"/>
          <w:szCs w:val="24"/>
        </w:rPr>
        <w:softHyphen/>
        <w:t>to</w:t>
      </w:r>
      <w:r w:rsidRPr="00FE0DAF">
        <w:rPr>
          <w:rFonts w:ascii="Times New Roman" w:hAnsi="Times New Roman" w:cs="Times New Roman"/>
          <w:sz w:val="24"/>
          <w:szCs w:val="24"/>
        </w:rPr>
        <w:softHyphen/>
        <w:t>määra (ka</w:t>
      </w:r>
      <w:r w:rsidRPr="00FE0DAF">
        <w:rPr>
          <w:rFonts w:ascii="Times New Roman" w:hAnsi="Times New Roman" w:cs="Times New Roman"/>
          <w:sz w:val="24"/>
          <w:szCs w:val="24"/>
        </w:rPr>
        <w:softHyphen/>
        <w:t>pi</w:t>
      </w:r>
      <w:r w:rsidRPr="00FE0DAF">
        <w:rPr>
          <w:rFonts w:ascii="Times New Roman" w:hAnsi="Times New Roman" w:cs="Times New Roman"/>
          <w:sz w:val="24"/>
          <w:szCs w:val="24"/>
        </w:rPr>
        <w:softHyphen/>
        <w:t>tali hind) võimalik konverteerida kapi</w:t>
      </w:r>
      <w:r w:rsidRPr="00FE0DAF">
        <w:rPr>
          <w:rFonts w:ascii="Times New Roman" w:hAnsi="Times New Roman" w:cs="Times New Roman"/>
          <w:sz w:val="24"/>
          <w:szCs w:val="24"/>
        </w:rPr>
        <w:softHyphen/>
        <w:t>ta</w:t>
      </w:r>
      <w:r w:rsidRPr="00FE0DAF">
        <w:rPr>
          <w:rFonts w:ascii="Times New Roman" w:hAnsi="Times New Roman" w:cs="Times New Roman"/>
          <w:sz w:val="24"/>
          <w:szCs w:val="24"/>
        </w:rPr>
        <w:softHyphen/>
        <w:t>lisatsioonimääraks, lahuta</w:t>
      </w:r>
      <w:r w:rsidRPr="00FE0DAF">
        <w:rPr>
          <w:rFonts w:ascii="Times New Roman" w:hAnsi="Times New Roman" w:cs="Times New Roman"/>
          <w:sz w:val="24"/>
          <w:szCs w:val="24"/>
        </w:rPr>
        <w:softHyphen/>
        <w:t>des dis</w:t>
      </w:r>
      <w:r w:rsidRPr="00FE0DAF">
        <w:rPr>
          <w:rFonts w:ascii="Times New Roman" w:hAnsi="Times New Roman" w:cs="Times New Roman"/>
          <w:sz w:val="24"/>
          <w:szCs w:val="24"/>
        </w:rPr>
        <w:softHyphen/>
        <w:t>kon</w:t>
      </w:r>
      <w:r w:rsidRPr="00FE0DAF">
        <w:rPr>
          <w:rFonts w:ascii="Times New Roman" w:hAnsi="Times New Roman" w:cs="Times New Roman"/>
          <w:sz w:val="24"/>
          <w:szCs w:val="24"/>
        </w:rPr>
        <w:softHyphen/>
        <w:t>to</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mää</w:t>
      </w:r>
      <w:r w:rsidRPr="00FE0DAF">
        <w:rPr>
          <w:rFonts w:ascii="Times New Roman" w:hAnsi="Times New Roman" w:cs="Times New Roman"/>
          <w:sz w:val="24"/>
          <w:szCs w:val="24"/>
        </w:rPr>
        <w:softHyphen/>
        <w:t>rast kasvu</w:t>
      </w:r>
      <w:r w:rsidRPr="00FE0DAF">
        <w:rPr>
          <w:rFonts w:ascii="Times New Roman" w:hAnsi="Times New Roman" w:cs="Times New Roman"/>
          <w:sz w:val="24"/>
          <w:szCs w:val="24"/>
        </w:rPr>
        <w:softHyphen/>
        <w:t xml:space="preserve">määra: </w:t>
      </w:r>
      <w:proofErr w:type="spellStart"/>
      <w:r w:rsidRPr="00FE0DAF">
        <w:rPr>
          <w:rFonts w:ascii="Times New Roman" w:hAnsi="Times New Roman" w:cs="Times New Roman"/>
          <w:i/>
          <w:sz w:val="24"/>
          <w:szCs w:val="24"/>
        </w:rPr>
        <w:t>R</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vertAlign w:val="subscript"/>
        </w:rPr>
        <w:t xml:space="preserve"> </w:t>
      </w:r>
      <w:r w:rsidRPr="00FE0DAF">
        <w:rPr>
          <w:rFonts w:ascii="Times New Roman" w:hAnsi="Times New Roman" w:cs="Times New Roman"/>
          <w:i/>
          <w:sz w:val="24"/>
          <w:szCs w:val="24"/>
        </w:rPr>
        <w:t xml:space="preserve">= </w:t>
      </w:r>
      <w:proofErr w:type="spellStart"/>
      <w:r w:rsidRPr="00FE0DAF">
        <w:rPr>
          <w:rFonts w:ascii="Times New Roman" w:hAnsi="Times New Roman" w:cs="Times New Roman"/>
          <w:i/>
          <w:sz w:val="24"/>
          <w:szCs w:val="24"/>
        </w:rPr>
        <w:t>Y</w:t>
      </w:r>
      <w:r w:rsidRPr="00FE0DAF">
        <w:rPr>
          <w:rFonts w:ascii="Times New Roman" w:hAnsi="Times New Roman" w:cs="Times New Roman"/>
          <w:i/>
          <w:sz w:val="24"/>
          <w:szCs w:val="24"/>
          <w:vertAlign w:val="subscript"/>
        </w:rPr>
        <w:t>o</w:t>
      </w:r>
      <w:proofErr w:type="spellEnd"/>
      <w:r w:rsidRPr="00FE0DAF">
        <w:rPr>
          <w:rFonts w:ascii="Times New Roman" w:hAnsi="Times New Roman" w:cs="Times New Roman"/>
          <w:i/>
          <w:sz w:val="24"/>
          <w:szCs w:val="24"/>
        </w:rPr>
        <w:t xml:space="preserve"> – g</w:t>
      </w:r>
      <w:r w:rsidRPr="00FE0DAF">
        <w:rPr>
          <w:rFonts w:ascii="Times New Roman" w:hAnsi="Times New Roman" w:cs="Times New Roman"/>
          <w:sz w:val="24"/>
          <w:szCs w:val="24"/>
        </w:rPr>
        <w:t xml:space="preserve">. Seega, kasvumäär </w:t>
      </w:r>
      <w:r w:rsidRPr="00FE0DAF">
        <w:rPr>
          <w:rFonts w:ascii="Times New Roman" w:hAnsi="Times New Roman" w:cs="Times New Roman"/>
          <w:i/>
          <w:sz w:val="24"/>
          <w:szCs w:val="24"/>
        </w:rPr>
        <w:t>g</w:t>
      </w:r>
      <w:r w:rsidRPr="00FE0DAF">
        <w:rPr>
          <w:rFonts w:ascii="Times New Roman" w:hAnsi="Times New Roman" w:cs="Times New Roman"/>
          <w:sz w:val="24"/>
          <w:szCs w:val="24"/>
        </w:rPr>
        <w:t xml:space="preserve"> ongi funk</w:t>
      </w:r>
      <w:r w:rsidRPr="00FE0DAF">
        <w:rPr>
          <w:rFonts w:ascii="Times New Roman" w:hAnsi="Times New Roman" w:cs="Times New Roman"/>
          <w:sz w:val="24"/>
          <w:szCs w:val="24"/>
        </w:rPr>
        <w:softHyphen/>
        <w:t>t</w:t>
      </w:r>
      <w:r w:rsidRPr="00FE0DAF">
        <w:rPr>
          <w:rFonts w:ascii="Times New Roman" w:hAnsi="Times New Roman" w:cs="Times New Roman"/>
          <w:sz w:val="24"/>
          <w:szCs w:val="24"/>
        </w:rPr>
        <w:softHyphen/>
        <w:t>sio</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naalseks seoseks kapitalisat</w:t>
      </w:r>
      <w:r w:rsidRPr="00FE0DAF">
        <w:rPr>
          <w:rFonts w:ascii="Times New Roman" w:hAnsi="Times New Roman" w:cs="Times New Roman"/>
          <w:sz w:val="24"/>
          <w:szCs w:val="24"/>
        </w:rPr>
        <w:softHyphen/>
        <w:t>sioo</w:t>
      </w:r>
      <w:r w:rsidRPr="00FE0DAF">
        <w:rPr>
          <w:rFonts w:ascii="Times New Roman" w:hAnsi="Times New Roman" w:cs="Times New Roman"/>
          <w:sz w:val="24"/>
          <w:szCs w:val="24"/>
        </w:rPr>
        <w:softHyphen/>
        <w:t>ni</w:t>
      </w:r>
      <w:r w:rsidRPr="00FE0DAF">
        <w:rPr>
          <w:rFonts w:ascii="Times New Roman" w:hAnsi="Times New Roman" w:cs="Times New Roman"/>
          <w:sz w:val="24"/>
          <w:szCs w:val="24"/>
        </w:rPr>
        <w:softHyphen/>
      </w:r>
      <w:r w:rsidRPr="00FE0DAF">
        <w:rPr>
          <w:rFonts w:ascii="Times New Roman" w:hAnsi="Times New Roman" w:cs="Times New Roman"/>
          <w:sz w:val="24"/>
          <w:szCs w:val="24"/>
        </w:rPr>
        <w:softHyphen/>
        <w:t>määra ja dis</w:t>
      </w:r>
      <w:r w:rsidRPr="00FE0DAF">
        <w:rPr>
          <w:rFonts w:ascii="Times New Roman" w:hAnsi="Times New Roman" w:cs="Times New Roman"/>
          <w:sz w:val="24"/>
          <w:szCs w:val="24"/>
        </w:rPr>
        <w:softHyphen/>
        <w:t>kontomäära vahel.</w:t>
      </w:r>
    </w:p>
    <w:p w:rsidR="007C5178" w:rsidRPr="00FE0DAF" w:rsidRDefault="007C5178" w:rsidP="007C5178">
      <w:pPr>
        <w:pStyle w:val="lqiktavaline"/>
        <w:tabs>
          <w:tab w:val="left" w:pos="284"/>
          <w:tab w:val="left" w:pos="426"/>
          <w:tab w:val="left" w:pos="709"/>
          <w:tab w:val="left" w:pos="993"/>
        </w:tabs>
        <w:rPr>
          <w:noProof w:val="0"/>
          <w:sz w:val="24"/>
          <w:szCs w:val="24"/>
          <w:lang w:val="et-EE"/>
        </w:rPr>
      </w:pPr>
      <w:r w:rsidRPr="00FE0DAF">
        <w:rPr>
          <w:noProof w:val="0"/>
          <w:sz w:val="24"/>
          <w:szCs w:val="24"/>
          <w:lang w:val="et-EE"/>
        </w:rPr>
        <w:t>Oluline on siinkohal hinnata vaid selle kapitali kasvumäära, mis esialg</w:t>
      </w:r>
      <w:r w:rsidRPr="00FE0DAF">
        <w:rPr>
          <w:noProof w:val="0"/>
          <w:sz w:val="24"/>
          <w:szCs w:val="24"/>
          <w:lang w:val="et-EE"/>
        </w:rPr>
        <w:softHyphen/>
        <w:t>selt investeeriti, arves</w:t>
      </w:r>
      <w:r w:rsidRPr="00FE0DAF">
        <w:rPr>
          <w:noProof w:val="0"/>
          <w:sz w:val="24"/>
          <w:szCs w:val="24"/>
          <w:lang w:val="et-EE"/>
        </w:rPr>
        <w:softHyphen/>
        <w:t>ta</w:t>
      </w:r>
      <w:r w:rsidRPr="00FE0DAF">
        <w:rPr>
          <w:noProof w:val="0"/>
          <w:sz w:val="24"/>
          <w:szCs w:val="24"/>
          <w:lang w:val="et-EE"/>
        </w:rPr>
        <w:softHyphen/>
        <w:t>mata hili</w:t>
      </w:r>
      <w:r w:rsidRPr="00FE0DAF">
        <w:rPr>
          <w:noProof w:val="0"/>
          <w:sz w:val="24"/>
          <w:szCs w:val="24"/>
          <w:lang w:val="et-EE"/>
        </w:rPr>
        <w:softHyphen/>
        <w:t>se</w:t>
      </w:r>
      <w:r w:rsidRPr="00FE0DAF">
        <w:rPr>
          <w:noProof w:val="0"/>
          <w:sz w:val="24"/>
          <w:szCs w:val="24"/>
          <w:lang w:val="et-EE"/>
        </w:rPr>
        <w:softHyphen/>
        <w:t>maid võima</w:t>
      </w:r>
      <w:r w:rsidRPr="00FE0DAF">
        <w:rPr>
          <w:noProof w:val="0"/>
          <w:sz w:val="24"/>
          <w:szCs w:val="24"/>
          <w:lang w:val="et-EE"/>
        </w:rPr>
        <w:softHyphen/>
        <w:t>lik</w:t>
      </w:r>
      <w:r w:rsidRPr="00FE0DAF">
        <w:rPr>
          <w:noProof w:val="0"/>
          <w:sz w:val="24"/>
          <w:szCs w:val="24"/>
          <w:lang w:val="et-EE"/>
        </w:rPr>
        <w:softHyphen/>
        <w:t>ke täiendavaid kapi</w:t>
      </w:r>
      <w:r w:rsidRPr="00FE0DAF">
        <w:rPr>
          <w:noProof w:val="0"/>
          <w:sz w:val="24"/>
          <w:szCs w:val="24"/>
          <w:lang w:val="et-EE"/>
        </w:rPr>
        <w:softHyphen/>
        <w:t>taal</w:t>
      </w:r>
      <w:r w:rsidRPr="00FE0DAF">
        <w:rPr>
          <w:noProof w:val="0"/>
          <w:sz w:val="24"/>
          <w:szCs w:val="24"/>
          <w:lang w:val="et-EE"/>
        </w:rPr>
        <w:softHyphen/>
        <w:t>mahutusi. Kuigi tehniliselt on sisemine kas</w:t>
      </w:r>
      <w:r w:rsidRPr="00FE0DAF">
        <w:rPr>
          <w:noProof w:val="0"/>
          <w:sz w:val="24"/>
          <w:szCs w:val="24"/>
          <w:lang w:val="et-EE"/>
        </w:rPr>
        <w:softHyphen/>
        <w:t xml:space="preserve">vumäär siinkohal </w:t>
      </w:r>
      <w:proofErr w:type="spellStart"/>
      <w:r w:rsidRPr="00FE0DAF">
        <w:rPr>
          <w:noProof w:val="0"/>
          <w:sz w:val="24"/>
          <w:szCs w:val="24"/>
          <w:lang w:val="et-EE"/>
        </w:rPr>
        <w:t>per</w:t>
      </w:r>
      <w:r w:rsidRPr="00FE0DAF">
        <w:rPr>
          <w:noProof w:val="0"/>
          <w:sz w:val="24"/>
          <w:szCs w:val="24"/>
          <w:lang w:val="et-EE"/>
        </w:rPr>
        <w:softHyphen/>
        <w:t>pe</w:t>
      </w:r>
      <w:r w:rsidRPr="00FE0DAF">
        <w:rPr>
          <w:noProof w:val="0"/>
          <w:sz w:val="24"/>
          <w:szCs w:val="24"/>
          <w:lang w:val="et-EE"/>
        </w:rPr>
        <w:softHyphen/>
        <w:t>tui</w:t>
      </w:r>
      <w:r w:rsidRPr="00FE0DAF">
        <w:rPr>
          <w:noProof w:val="0"/>
          <w:sz w:val="24"/>
          <w:szCs w:val="24"/>
          <w:lang w:val="et-EE"/>
        </w:rPr>
        <w:softHyphen/>
        <w:t>teet</w:t>
      </w:r>
      <w:r w:rsidRPr="00FE0DAF">
        <w:rPr>
          <w:noProof w:val="0"/>
          <w:sz w:val="24"/>
          <w:szCs w:val="24"/>
          <w:lang w:val="et-EE"/>
        </w:rPr>
        <w:softHyphen/>
        <w:t>ne</w:t>
      </w:r>
      <w:proofErr w:type="spellEnd"/>
      <w:r w:rsidRPr="00FE0DAF">
        <w:rPr>
          <w:noProof w:val="0"/>
          <w:sz w:val="24"/>
          <w:szCs w:val="24"/>
          <w:lang w:val="et-EE"/>
        </w:rPr>
        <w:t>, on 15</w:t>
      </w:r>
      <w:r w:rsidRPr="00FE0DAF">
        <w:rPr>
          <w:i/>
          <w:noProof w:val="0"/>
          <w:sz w:val="24"/>
          <w:szCs w:val="24"/>
          <w:lang w:val="et-EE"/>
        </w:rPr>
        <w:t>–</w:t>
      </w:r>
      <w:r w:rsidRPr="00FE0DAF">
        <w:rPr>
          <w:noProof w:val="0"/>
          <w:sz w:val="24"/>
          <w:szCs w:val="24"/>
          <w:lang w:val="et-EE"/>
        </w:rPr>
        <w:t>20 aasta pärast kasvumääral minimaalne mõju ra</w:t>
      </w:r>
      <w:r w:rsidRPr="00FE0DAF">
        <w:rPr>
          <w:noProof w:val="0"/>
          <w:sz w:val="24"/>
          <w:szCs w:val="24"/>
          <w:lang w:val="et-EE"/>
        </w:rPr>
        <w:softHyphen/>
        <w:t>ha</w:t>
      </w:r>
      <w:r w:rsidRPr="00FE0DAF">
        <w:rPr>
          <w:noProof w:val="0"/>
          <w:sz w:val="24"/>
          <w:szCs w:val="24"/>
          <w:lang w:val="et-EE"/>
        </w:rPr>
        <w:softHyphen/>
        <w:t>voo nüüdis</w:t>
      </w:r>
      <w:r w:rsidRPr="00FE0DAF">
        <w:rPr>
          <w:noProof w:val="0"/>
          <w:sz w:val="24"/>
          <w:szCs w:val="24"/>
          <w:lang w:val="et-EE"/>
        </w:rPr>
        <w:softHyphen/>
        <w:t>väär</w:t>
      </w:r>
      <w:r w:rsidRPr="00FE0DAF">
        <w:rPr>
          <w:noProof w:val="0"/>
          <w:sz w:val="24"/>
          <w:szCs w:val="24"/>
          <w:lang w:val="et-EE"/>
        </w:rPr>
        <w:softHyphen/>
        <w:t xml:space="preserve">tusele. Erinevus </w:t>
      </w:r>
      <w:proofErr w:type="spellStart"/>
      <w:r w:rsidRPr="00FE0DAF">
        <w:rPr>
          <w:noProof w:val="0"/>
          <w:sz w:val="24"/>
          <w:szCs w:val="24"/>
          <w:lang w:val="et-EE"/>
        </w:rPr>
        <w:t>dioskontomäära</w:t>
      </w:r>
      <w:proofErr w:type="spellEnd"/>
      <w:r w:rsidRPr="00FE0DAF">
        <w:rPr>
          <w:noProof w:val="0"/>
          <w:sz w:val="24"/>
          <w:szCs w:val="24"/>
          <w:lang w:val="et-EE"/>
        </w:rPr>
        <w:t xml:space="preserve"> ja kapi</w:t>
      </w:r>
      <w:r w:rsidRPr="00FE0DAF">
        <w:rPr>
          <w:noProof w:val="0"/>
          <w:sz w:val="24"/>
          <w:szCs w:val="24"/>
          <w:lang w:val="et-EE"/>
        </w:rPr>
        <w:softHyphen/>
        <w:t>ta</w:t>
      </w:r>
      <w:r w:rsidRPr="00FE0DAF">
        <w:rPr>
          <w:noProof w:val="0"/>
          <w:sz w:val="24"/>
          <w:szCs w:val="24"/>
          <w:lang w:val="et-EE"/>
        </w:rPr>
        <w:softHyphen/>
        <w:t>lisatsioonimäära vahel seisneb seega sel</w:t>
      </w:r>
      <w:r w:rsidRPr="00FE0DAF">
        <w:rPr>
          <w:noProof w:val="0"/>
          <w:sz w:val="24"/>
          <w:szCs w:val="24"/>
          <w:lang w:val="et-EE"/>
        </w:rPr>
        <w:softHyphen/>
        <w:t>les, kuidas väljen</w:t>
      </w:r>
      <w:r w:rsidRPr="00FE0DAF">
        <w:rPr>
          <w:noProof w:val="0"/>
          <w:sz w:val="24"/>
          <w:szCs w:val="24"/>
          <w:lang w:val="et-EE"/>
        </w:rPr>
        <w:softHyphen/>
        <w:t>datakse aja jook</w:t>
      </w:r>
      <w:r w:rsidRPr="00FE0DAF">
        <w:rPr>
          <w:noProof w:val="0"/>
          <w:sz w:val="24"/>
          <w:szCs w:val="24"/>
          <w:lang w:val="et-EE"/>
        </w:rPr>
        <w:softHyphen/>
      </w:r>
      <w:r w:rsidRPr="00FE0DAF">
        <w:rPr>
          <w:noProof w:val="0"/>
          <w:sz w:val="24"/>
          <w:szCs w:val="24"/>
          <w:lang w:val="et-EE"/>
        </w:rPr>
        <w:softHyphen/>
        <w:t>sul muutusi tule</w:t>
      </w:r>
      <w:r w:rsidRPr="00FE0DAF">
        <w:rPr>
          <w:noProof w:val="0"/>
          <w:sz w:val="24"/>
          <w:szCs w:val="24"/>
          <w:lang w:val="et-EE"/>
        </w:rPr>
        <w:softHyphen/>
        <w:t>vikus oodata</w:t>
      </w:r>
      <w:r w:rsidRPr="00FE0DAF">
        <w:rPr>
          <w:noProof w:val="0"/>
          <w:sz w:val="24"/>
          <w:szCs w:val="24"/>
          <w:lang w:val="et-EE"/>
        </w:rPr>
        <w:softHyphen/>
        <w:t>vas ra</w:t>
      </w:r>
      <w:r w:rsidRPr="00FE0DAF">
        <w:rPr>
          <w:noProof w:val="0"/>
          <w:sz w:val="24"/>
          <w:szCs w:val="24"/>
          <w:lang w:val="et-EE"/>
        </w:rPr>
        <w:softHyphen/>
        <w:t>ha</w:t>
      </w:r>
      <w:r w:rsidRPr="00FE0DAF">
        <w:rPr>
          <w:noProof w:val="0"/>
          <w:sz w:val="24"/>
          <w:szCs w:val="24"/>
          <w:lang w:val="et-EE"/>
        </w:rPr>
        <w:softHyphen/>
      </w:r>
      <w:r w:rsidRPr="00FE0DAF">
        <w:rPr>
          <w:noProof w:val="0"/>
          <w:sz w:val="24"/>
          <w:szCs w:val="24"/>
          <w:lang w:val="et-EE"/>
        </w:rPr>
        <w:softHyphen/>
        <w:t>voos.</w:t>
      </w:r>
    </w:p>
    <w:p w:rsidR="007C5178" w:rsidRPr="002E22AC" w:rsidRDefault="007C5178" w:rsidP="00470CCC">
      <w:pPr>
        <w:spacing w:after="0"/>
        <w:jc w:val="both"/>
        <w:rPr>
          <w:rFonts w:ascii="Times New Roman" w:hAnsi="Times New Roman" w:cs="Times New Roman"/>
          <w:sz w:val="24"/>
          <w:szCs w:val="24"/>
        </w:rPr>
      </w:pPr>
    </w:p>
    <w:p w:rsidR="00470CCC" w:rsidRPr="002E22AC" w:rsidRDefault="00470CCC" w:rsidP="00470CCC">
      <w:pPr>
        <w:spacing w:after="0" w:line="240" w:lineRule="auto"/>
        <w:rPr>
          <w:rFonts w:ascii="Times New Roman" w:hAnsi="Times New Roman" w:cs="Times New Roman"/>
          <w:sz w:val="24"/>
          <w:szCs w:val="24"/>
        </w:rPr>
      </w:pPr>
    </w:p>
    <w:p w:rsidR="00470CCC" w:rsidRDefault="00470CCC" w:rsidP="00470CCC">
      <w:pPr>
        <w:spacing w:after="120" w:line="240" w:lineRule="auto"/>
        <w:rPr>
          <w:rFonts w:ascii="Times New Roman" w:hAnsi="Times New Roman" w:cs="Times New Roman"/>
          <w:sz w:val="24"/>
          <w:szCs w:val="24"/>
        </w:rPr>
      </w:pPr>
      <w:r w:rsidRPr="00BC6531">
        <w:rPr>
          <w:rFonts w:ascii="Times New Roman" w:hAnsi="Times New Roman" w:cs="Times New Roman"/>
          <w:sz w:val="24"/>
          <w:szCs w:val="24"/>
        </w:rPr>
        <w:t xml:space="preserve">6. </w:t>
      </w:r>
      <w:r w:rsidRPr="002E22AC">
        <w:rPr>
          <w:rFonts w:ascii="Times New Roman" w:hAnsi="Times New Roman" w:cs="Times New Roman"/>
          <w:sz w:val="24"/>
          <w:szCs w:val="24"/>
        </w:rPr>
        <w:t>Mis on pakkumise hinnaelastsus? Esitada valem ning selgitada, kuidas saadud tulemust tõlgendatakse.</w:t>
      </w:r>
    </w:p>
    <w:p w:rsidR="007C5178" w:rsidRPr="00FE0DAF" w:rsidRDefault="007C5178" w:rsidP="007C5178">
      <w:pPr>
        <w:spacing w:after="120" w:line="240" w:lineRule="auto"/>
        <w:jc w:val="both"/>
        <w:rPr>
          <w:rFonts w:ascii="Times New Roman" w:hAnsi="Times New Roman" w:cs="Times New Roman"/>
          <w:sz w:val="24"/>
          <w:szCs w:val="24"/>
        </w:rPr>
      </w:pPr>
      <w:r w:rsidRPr="00FE0DAF">
        <w:rPr>
          <w:rFonts w:ascii="Times New Roman" w:hAnsi="Times New Roman" w:cs="Times New Roman"/>
          <w:b/>
          <w:sz w:val="24"/>
          <w:szCs w:val="24"/>
        </w:rPr>
        <w:t xml:space="preserve">Vastus: </w:t>
      </w:r>
      <w:r w:rsidRPr="00FE0DAF">
        <w:rPr>
          <w:rFonts w:ascii="Times New Roman" w:hAnsi="Times New Roman" w:cs="Times New Roman"/>
          <w:bCs/>
          <w:sz w:val="24"/>
          <w:szCs w:val="24"/>
        </w:rPr>
        <w:t xml:space="preserve">Pakkumise hinnaelastsus </w:t>
      </w:r>
      <w:r w:rsidRPr="00FE0DAF">
        <w:rPr>
          <w:rFonts w:ascii="Times New Roman" w:hAnsi="Times New Roman" w:cs="Times New Roman"/>
          <w:sz w:val="24"/>
          <w:szCs w:val="24"/>
        </w:rPr>
        <w:t>mõõdab, kuidas hinnamuutusele turul reageerivad pakkujad. Kuna vastavalt pakkumisseadusele on kauba hind ja pakutav kogus kasvavalt võrdeliselt seotud, toimuvad kauba hinnas ja pakutavas koguses samasuunalised protsentuaalsed muutused. Seega on pakkumise hinnaelastsuse näitaja tavaliselt positiivse väärtusega. Pakkumise elastsuskoefitsiendi E</w:t>
      </w:r>
      <w:r w:rsidRPr="00FE0DAF">
        <w:rPr>
          <w:rFonts w:ascii="Times New Roman" w:hAnsi="Times New Roman" w:cs="Times New Roman"/>
          <w:sz w:val="24"/>
          <w:szCs w:val="24"/>
          <w:vertAlign w:val="subscript"/>
        </w:rPr>
        <w:t>S</w:t>
      </w:r>
      <w:r w:rsidRPr="00FE0DAF">
        <w:rPr>
          <w:rFonts w:ascii="Times New Roman" w:hAnsi="Times New Roman" w:cs="Times New Roman"/>
          <w:sz w:val="24"/>
          <w:szCs w:val="24"/>
        </w:rPr>
        <w:t xml:space="preserve"> arvutamiseks kasutatakse valemit, kus:</w:t>
      </w:r>
    </w:p>
    <w:p w:rsidR="007C5178" w:rsidRPr="00FE0DAF" w:rsidRDefault="007C5178" w:rsidP="007C5178">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E</w:t>
      </w:r>
      <w:r w:rsidRPr="00FE0DAF">
        <w:rPr>
          <w:rFonts w:ascii="Times New Roman" w:hAnsi="Times New Roman" w:cs="Times New Roman"/>
          <w:sz w:val="24"/>
          <w:szCs w:val="24"/>
          <w:vertAlign w:val="subscript"/>
        </w:rPr>
        <w:t>S</w:t>
      </w:r>
      <w:r w:rsidRPr="00FE0DAF">
        <w:rPr>
          <w:rFonts w:ascii="Times New Roman" w:hAnsi="Times New Roman" w:cs="Times New Roman"/>
          <w:sz w:val="24"/>
          <w:szCs w:val="24"/>
        </w:rPr>
        <w:t xml:space="preserve"> = pakutava koguse protsentuaalne muutus / mõjuteguri protsentuaalne muutus</w:t>
      </w:r>
    </w:p>
    <w:p w:rsidR="007C5178" w:rsidRPr="00FE0DAF" w:rsidRDefault="007C5178" w:rsidP="007C5178">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Lähtuvalt protsentuaalse muutuse leidmisest eristatakse kas punkt- või kaarelastsushinnangut.</w:t>
      </w:r>
    </w:p>
    <w:p w:rsidR="007C5178" w:rsidRPr="00FE0DAF" w:rsidRDefault="007C5178" w:rsidP="007C5178">
      <w:pPr>
        <w:spacing w:after="120" w:line="240" w:lineRule="auto"/>
        <w:rPr>
          <w:rFonts w:ascii="Times New Roman" w:hAnsi="Times New Roman" w:cs="Times New Roman"/>
          <w:sz w:val="24"/>
          <w:szCs w:val="24"/>
        </w:rPr>
      </w:pPr>
      <w:r w:rsidRPr="00FE0DAF">
        <w:rPr>
          <w:rFonts w:ascii="Times New Roman" w:hAnsi="Times New Roman" w:cs="Times New Roman"/>
          <w:sz w:val="24"/>
          <w:szCs w:val="24"/>
        </w:rPr>
        <w:t>Elastsuskoefitsiendi tõlgendamine:</w:t>
      </w:r>
    </w:p>
    <w:p w:rsidR="007C5178" w:rsidRPr="00FE0DAF" w:rsidRDefault="007C5178" w:rsidP="007C5178">
      <w:pPr>
        <w:pStyle w:val="ListParagraph"/>
        <w:numPr>
          <w:ilvl w:val="0"/>
          <w:numId w:val="1"/>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pakkumise hinnaelastsuse koefitsiendi arvväärtus on väiksem kui 1, on pakkumine </w:t>
      </w:r>
      <w:r w:rsidRPr="00FE0DAF">
        <w:rPr>
          <w:rFonts w:ascii="Times New Roman" w:hAnsi="Times New Roman" w:cs="Times New Roman"/>
          <w:bCs/>
          <w:sz w:val="24"/>
          <w:szCs w:val="24"/>
        </w:rPr>
        <w:t>mitteelastne</w:t>
      </w:r>
      <w:r w:rsidRPr="00FE0DAF">
        <w:rPr>
          <w:rFonts w:ascii="Times New Roman" w:hAnsi="Times New Roman" w:cs="Times New Roman"/>
          <w:sz w:val="24"/>
          <w:szCs w:val="24"/>
        </w:rPr>
        <w:t xml:space="preserve">; </w:t>
      </w:r>
    </w:p>
    <w:p w:rsidR="007C5178" w:rsidRPr="00FE0DAF" w:rsidRDefault="007C5178" w:rsidP="007C5178">
      <w:pPr>
        <w:pStyle w:val="ListParagraph"/>
        <w:numPr>
          <w:ilvl w:val="0"/>
          <w:numId w:val="1"/>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hinnaelastsuse koefitsiendi arvväärtus on suurem kui 1, on pakkumine </w:t>
      </w:r>
      <w:r w:rsidRPr="00FE0DAF">
        <w:rPr>
          <w:rFonts w:ascii="Times New Roman" w:hAnsi="Times New Roman" w:cs="Times New Roman"/>
          <w:bCs/>
          <w:sz w:val="24"/>
          <w:szCs w:val="24"/>
        </w:rPr>
        <w:t>elastne</w:t>
      </w:r>
      <w:r w:rsidRPr="00FE0DAF">
        <w:rPr>
          <w:rFonts w:ascii="Times New Roman" w:hAnsi="Times New Roman" w:cs="Times New Roman"/>
          <w:sz w:val="24"/>
          <w:szCs w:val="24"/>
        </w:rPr>
        <w:t xml:space="preserve">; </w:t>
      </w:r>
    </w:p>
    <w:p w:rsidR="007C5178" w:rsidRPr="00FE0DAF" w:rsidRDefault="007C5178" w:rsidP="007C5178">
      <w:pPr>
        <w:pStyle w:val="ListParagraph"/>
        <w:numPr>
          <w:ilvl w:val="0"/>
          <w:numId w:val="1"/>
        </w:numPr>
        <w:spacing w:after="0" w:line="240" w:lineRule="auto"/>
        <w:contextualSpacing w:val="0"/>
        <w:rPr>
          <w:rFonts w:ascii="Times New Roman" w:hAnsi="Times New Roman" w:cs="Times New Roman"/>
          <w:sz w:val="24"/>
          <w:szCs w:val="24"/>
        </w:rPr>
      </w:pPr>
      <w:r w:rsidRPr="00FE0DAF">
        <w:rPr>
          <w:rFonts w:ascii="Times New Roman" w:hAnsi="Times New Roman" w:cs="Times New Roman"/>
          <w:sz w:val="24"/>
          <w:szCs w:val="24"/>
        </w:rPr>
        <w:t xml:space="preserve">kui kõnealuse näitaja väärtus võrdub 1-ga, on pakkumine </w:t>
      </w:r>
      <w:r w:rsidRPr="00FE0DAF">
        <w:rPr>
          <w:rFonts w:ascii="Times New Roman" w:hAnsi="Times New Roman" w:cs="Times New Roman"/>
          <w:bCs/>
          <w:sz w:val="24"/>
          <w:szCs w:val="24"/>
        </w:rPr>
        <w:t>ühikuelastne.</w:t>
      </w:r>
    </w:p>
    <w:p w:rsidR="00470CCC" w:rsidRPr="00197330" w:rsidRDefault="00470CCC" w:rsidP="00470CCC">
      <w:pPr>
        <w:spacing w:after="120" w:line="240" w:lineRule="auto"/>
        <w:rPr>
          <w:rFonts w:ascii="Times New Roman" w:hAnsi="Times New Roman" w:cs="Times New Roman"/>
          <w:sz w:val="24"/>
          <w:szCs w:val="24"/>
        </w:rPr>
      </w:pPr>
    </w:p>
    <w:p w:rsidR="00470CCC" w:rsidRPr="00BC6531" w:rsidRDefault="00470CCC" w:rsidP="00470CCC">
      <w:pPr>
        <w:pStyle w:val="Default"/>
        <w:rPr>
          <w:rFonts w:ascii="Times New Roman" w:hAnsi="Times New Roman" w:cs="Times New Roman"/>
        </w:rPr>
      </w:pPr>
      <w:r>
        <w:rPr>
          <w:rFonts w:ascii="Times New Roman" w:hAnsi="Times New Roman" w:cs="Times New Roman"/>
        </w:rPr>
        <w:t>7</w:t>
      </w:r>
      <w:r w:rsidRPr="00BC6531">
        <w:rPr>
          <w:rFonts w:ascii="Times New Roman" w:hAnsi="Times New Roman" w:cs="Times New Roman"/>
        </w:rPr>
        <w:t xml:space="preserve">. Millele ulatub hüpoteek? </w:t>
      </w:r>
    </w:p>
    <w:p w:rsidR="007C5178" w:rsidRPr="00FE0DAF" w:rsidRDefault="007C5178" w:rsidP="007C5178">
      <w:pPr>
        <w:pStyle w:val="Default"/>
        <w:jc w:val="both"/>
        <w:rPr>
          <w:rFonts w:ascii="Times New Roman" w:hAnsi="Times New Roman" w:cs="Times New Roman"/>
        </w:rPr>
      </w:pPr>
      <w:r w:rsidRPr="00FE0DAF">
        <w:rPr>
          <w:rFonts w:ascii="Times New Roman" w:hAnsi="Times New Roman" w:cs="Times New Roman"/>
          <w:b/>
        </w:rPr>
        <w:t>Vastus:</w:t>
      </w:r>
      <w:r w:rsidRPr="00FE0DAF">
        <w:rPr>
          <w:rFonts w:ascii="Times New Roman" w:hAnsi="Times New Roman" w:cs="Times New Roman"/>
        </w:rPr>
        <w:t xml:space="preserve"> Hüpoteek ulatub kinnisasja osadele, päraldistele ja viljadele. Hüpoteek ei ulatu kinnisasja päraldistele, mis ei ole kinnisasja omaniku omandis. Hüpoteek ei ulatu päraldistele, osadele ja loodusviljadele, mis on enne kinnisasja arestimist korrapärase majandamise kohaselt võõrandatud või kinnisasjast alatiseks eemaldatud. Kui hüpoteegiga koormatud kinnisasi on antud rendile või üürile, ulatub hüpoteek ka rendi- või üürinõudele, mis tekib ajavahemikul kinnisasja arestimisest või võlgniku pankroti väljakuulutamisest kuni kinnisasja müümiseni või mis on tekkinud ühe aasta jooksul enne kinnisasja arestimist või võlgniku pankroti väljakuulutamist ja on sisse nõudmata. Kui hüpoteegiga koormatud kinnisasi on kindlustatud, ulatub hüpoteek ka kindlustushüvitise nõudele. (AÕS §-d 343-345) </w:t>
      </w:r>
    </w:p>
    <w:p w:rsidR="007C5178" w:rsidRPr="00A735F2" w:rsidRDefault="007C5178" w:rsidP="007C5178">
      <w:pPr>
        <w:pStyle w:val="Default"/>
        <w:jc w:val="both"/>
        <w:rPr>
          <w:rFonts w:ascii="Times New Roman" w:hAnsi="Times New Roman" w:cs="Times New Roman"/>
        </w:rPr>
      </w:pPr>
    </w:p>
    <w:p w:rsidR="00470CCC" w:rsidRPr="002E22AC" w:rsidRDefault="00470CCC" w:rsidP="00470CCC">
      <w:pPr>
        <w:spacing w:after="0" w:line="240" w:lineRule="auto"/>
        <w:rPr>
          <w:rFonts w:ascii="Times New Roman" w:hAnsi="Times New Roman" w:cs="Times New Roman"/>
          <w:sz w:val="24"/>
          <w:szCs w:val="24"/>
        </w:rPr>
      </w:pPr>
    </w:p>
    <w:p w:rsidR="00470CCC" w:rsidRDefault="00470CCC" w:rsidP="00470CCC">
      <w:pPr>
        <w:pStyle w:val="Default"/>
        <w:rPr>
          <w:rFonts w:ascii="Times New Roman" w:hAnsi="Times New Roman" w:cs="Times New Roman"/>
        </w:rPr>
      </w:pPr>
      <w:r>
        <w:rPr>
          <w:rFonts w:ascii="Times New Roman" w:hAnsi="Times New Roman" w:cs="Times New Roman"/>
        </w:rPr>
        <w:t>8</w:t>
      </w:r>
      <w:r w:rsidRPr="00BC6531">
        <w:rPr>
          <w:rFonts w:ascii="Times New Roman" w:hAnsi="Times New Roman" w:cs="Times New Roman"/>
        </w:rPr>
        <w:t xml:space="preserve">. Milles seisneb kaasomandi ja ühisomandi erinevus? Millised on kaasomandi jagamise viisid? </w:t>
      </w:r>
    </w:p>
    <w:p w:rsidR="007C5178" w:rsidRPr="00FE0DAF" w:rsidRDefault="007C5178" w:rsidP="007C5178">
      <w:pPr>
        <w:pStyle w:val="Default"/>
        <w:jc w:val="both"/>
        <w:rPr>
          <w:rFonts w:ascii="Times New Roman" w:hAnsi="Times New Roman" w:cs="Times New Roman"/>
        </w:rPr>
      </w:pPr>
      <w:r w:rsidRPr="00FE0DAF">
        <w:rPr>
          <w:rFonts w:ascii="Times New Roman" w:hAnsi="Times New Roman" w:cs="Times New Roman"/>
          <w:b/>
        </w:rPr>
        <w:t>Vastus</w:t>
      </w:r>
      <w:r w:rsidRPr="00FE0DAF">
        <w:rPr>
          <w:rFonts w:ascii="Times New Roman" w:hAnsi="Times New Roman" w:cs="Times New Roman"/>
        </w:rPr>
        <w:t xml:space="preserve">: Kaasomand on kahele või enamale isikule üheaegselt mõttelistes osades ühises asjas kuuluv omand. Ühisomand on kahele või enamale isikule üheaegselt kindlaksmääramata osades ühises asjas kuuluv omand. Jagamise viisid: 1) jagada asi kaasomanike vahel reaalosades; 2) anda asi ühele või mitmele kaasomanikule, pannes neile kohustuse maksta teistele kaasomanikele välja nende osad rahas; 3) müüa asi avalikul või kaasomanikevahelisel enampakkumisel ning saadud raha jagada kaasomanike vahel vastavalt nende osa suurusele. (AÕS § 70, § 77) </w:t>
      </w:r>
    </w:p>
    <w:p w:rsidR="007C5178" w:rsidRPr="00BC6531" w:rsidRDefault="007C5178" w:rsidP="00470CCC">
      <w:pPr>
        <w:pStyle w:val="Default"/>
        <w:rPr>
          <w:rFonts w:ascii="Times New Roman" w:hAnsi="Times New Roman" w:cs="Times New Roman"/>
        </w:rPr>
      </w:pPr>
      <w:bookmarkStart w:id="3" w:name="_GoBack"/>
      <w:bookmarkEnd w:id="3"/>
    </w:p>
    <w:p w:rsidR="00470CCC" w:rsidRDefault="00470CCC"/>
    <w:sectPr w:rsidR="00470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B6F3A"/>
    <w:multiLevelType w:val="hybridMultilevel"/>
    <w:tmpl w:val="C3B228F0"/>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0F"/>
    <w:rsid w:val="004270F3"/>
    <w:rsid w:val="00470CCC"/>
    <w:rsid w:val="0047250F"/>
    <w:rsid w:val="007C51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CCC"/>
    <w:pPr>
      <w:autoSpaceDE w:val="0"/>
      <w:autoSpaceDN w:val="0"/>
      <w:adjustRightInd w:val="0"/>
      <w:spacing w:after="0" w:line="240" w:lineRule="auto"/>
    </w:pPr>
    <w:rPr>
      <w:rFonts w:ascii="Calibri" w:hAnsi="Calibri" w:cs="Calibri"/>
      <w:color w:val="000000"/>
      <w:sz w:val="24"/>
      <w:szCs w:val="24"/>
    </w:rPr>
  </w:style>
  <w:style w:type="paragraph" w:customStyle="1" w:styleId="lqiktavaline">
    <w:name w:val="lqik (tavaline)"/>
    <w:rsid w:val="007C5178"/>
    <w:pPr>
      <w:spacing w:before="120" w:after="0" w:line="240" w:lineRule="auto"/>
      <w:jc w:val="both"/>
    </w:pPr>
    <w:rPr>
      <w:rFonts w:ascii="Times New Roman" w:eastAsia="Times New Roman" w:hAnsi="Times New Roman" w:cs="Times New Roman"/>
      <w:noProof/>
      <w:sz w:val="23"/>
      <w:szCs w:val="23"/>
      <w:lang w:val="en-US"/>
    </w:rPr>
  </w:style>
  <w:style w:type="paragraph" w:styleId="ListParagraph">
    <w:name w:val="List Paragraph"/>
    <w:basedOn w:val="Normal"/>
    <w:uiPriority w:val="34"/>
    <w:qFormat/>
    <w:rsid w:val="007C51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CCC"/>
    <w:pPr>
      <w:autoSpaceDE w:val="0"/>
      <w:autoSpaceDN w:val="0"/>
      <w:adjustRightInd w:val="0"/>
      <w:spacing w:after="0" w:line="240" w:lineRule="auto"/>
    </w:pPr>
    <w:rPr>
      <w:rFonts w:ascii="Calibri" w:hAnsi="Calibri" w:cs="Calibri"/>
      <w:color w:val="000000"/>
      <w:sz w:val="24"/>
      <w:szCs w:val="24"/>
    </w:rPr>
  </w:style>
  <w:style w:type="paragraph" w:customStyle="1" w:styleId="lqiktavaline">
    <w:name w:val="lqik (tavaline)"/>
    <w:rsid w:val="007C5178"/>
    <w:pPr>
      <w:spacing w:before="120" w:after="0" w:line="240" w:lineRule="auto"/>
      <w:jc w:val="both"/>
    </w:pPr>
    <w:rPr>
      <w:rFonts w:ascii="Times New Roman" w:eastAsia="Times New Roman" w:hAnsi="Times New Roman" w:cs="Times New Roman"/>
      <w:noProof/>
      <w:sz w:val="23"/>
      <w:szCs w:val="23"/>
      <w:lang w:val="en-US"/>
    </w:rPr>
  </w:style>
  <w:style w:type="paragraph" w:styleId="ListParagraph">
    <w:name w:val="List Paragraph"/>
    <w:basedOn w:val="Normal"/>
    <w:uiPriority w:val="34"/>
    <w:qFormat/>
    <w:rsid w:val="007C5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848</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4</cp:revision>
  <cp:lastPrinted>2014-10-08T14:12:00Z</cp:lastPrinted>
  <dcterms:created xsi:type="dcterms:W3CDTF">2014-10-05T18:26:00Z</dcterms:created>
  <dcterms:modified xsi:type="dcterms:W3CDTF">2014-10-08T14:19:00Z</dcterms:modified>
</cp:coreProperties>
</file>